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C5" w:rsidRDefault="00A975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3164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045"/>
      </w:tblGrid>
      <w:tr w:rsidR="00A975C5" w:rsidTr="00A97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სახელწოდება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ქართულად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ინგლისურად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მუსიკოლოგია</w:t>
            </w:r>
          </w:p>
          <w:p w:rsidR="00A975C5" w:rsidRDefault="00265A4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Musicology</w:t>
            </w:r>
          </w:p>
        </w:tc>
      </w:tr>
      <w:tr w:rsidR="00A975C5" w:rsidTr="00A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მისანიჭებელი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კვალიფიკაცია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ქართულად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ინგლისურად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ჰუმანიტარულ მეცნიერებათა ბაკალავრი მუსიკოლოგიაში</w:t>
            </w:r>
          </w:p>
          <w:p w:rsidR="00265A4C" w:rsidRPr="00265A4C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5A4C">
              <w:rPr>
                <w:sz w:val="24"/>
                <w:szCs w:val="24"/>
              </w:rPr>
              <w:t xml:space="preserve">Bachelor in Arts (BA) in Musicology </w:t>
            </w:r>
            <w:bookmarkStart w:id="0" w:name="_GoBack"/>
            <w:bookmarkEnd w:id="0"/>
          </w:p>
        </w:tc>
      </w:tr>
      <w:tr w:rsidR="00A975C5" w:rsidTr="00A975C5">
        <w:trPr>
          <w:trHeight w:val="2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მოცულობა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კრედიტებით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მათი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განაწილება</w:t>
            </w: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ECTS</w:t>
            </w: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კურიკულუმი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მოიცავს</w:t>
            </w:r>
            <w:r>
              <w:rPr>
                <w:sz w:val="24"/>
                <w:szCs w:val="24"/>
              </w:rPr>
              <w:t>:</w:t>
            </w:r>
          </w:p>
          <w:p w:rsidR="00A975C5" w:rsidRDefault="00265A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 ECTS </w:t>
            </w:r>
            <w:r>
              <w:rPr>
                <w:sz w:val="24"/>
                <w:szCs w:val="24"/>
              </w:rPr>
              <w:t>კრედიტის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მოცულობის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სავალდებულო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სტატუსის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მქონე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კვლევითი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კომპონენტეს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ECTS </w:t>
            </w:r>
            <w:r>
              <w:rPr>
                <w:sz w:val="24"/>
                <w:szCs w:val="24"/>
              </w:rPr>
              <w:t>კრედიტის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მოცულობის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საფაკულტეტო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სავალდებულო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დისციპლინას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ECTS </w:t>
            </w:r>
            <w:r>
              <w:rPr>
                <w:sz w:val="24"/>
                <w:szCs w:val="24"/>
              </w:rPr>
              <w:t>მოცულობის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არჩევით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თავისუფალ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კრედიტს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მასწავლებლისა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ტექნოლოგიის</w:t>
            </w:r>
            <w:r>
              <w:rPr>
                <w:sz w:val="24"/>
                <w:szCs w:val="24"/>
              </w:rPr>
              <w:t xml:space="preserve"> 60 ECTS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კრედიტიანი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დამატებითი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პროგრამები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სტანდარტული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ხანგრძლივობა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შეადგენს</w:t>
            </w:r>
            <w:r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>წელს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ანუ</w:t>
            </w:r>
            <w:r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სემესტრს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ab/>
            </w:r>
          </w:p>
        </w:tc>
      </w:tr>
      <w:tr w:rsidR="00A975C5" w:rsidTr="00A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ენა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ქართული</w:t>
            </w:r>
          </w:p>
        </w:tc>
      </w:tr>
      <w:tr w:rsidR="00A975C5" w:rsidTr="00A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პროგრამის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ხელმძღვანელი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თანახელმძღვანელი</w:t>
            </w: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ასოცირებული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პროფესორი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სიგუა</w:t>
            </w:r>
          </w:p>
        </w:tc>
      </w:tr>
      <w:tr w:rsidR="00A975C5" w:rsidTr="00A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პროგრამაზე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დაშვების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წინაპირობა</w:t>
            </w:r>
          </w:p>
        </w:tc>
        <w:tc>
          <w:tcPr>
            <w:tcW w:w="10045" w:type="dxa"/>
          </w:tcPr>
          <w:p w:rsidR="00A975C5" w:rsidRDefault="00265A4C">
            <w:pPr>
              <w:tabs>
                <w:tab w:val="left" w:pos="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მუსიკოლოგიის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სწავლის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მსურველებსთვის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დაშვების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წინაპირობაა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ა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ზოგადსაგანმანათლებლო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სკოლის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ატესტატი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ბ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შემოქმედებით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ტურებისა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ერთიანი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ეროვნული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წარმატებით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ჩაბარება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5C5" w:rsidTr="00A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მიზ</w:t>
            </w:r>
            <w:r>
              <w:rPr>
                <w:sz w:val="24"/>
                <w:szCs w:val="24"/>
              </w:rPr>
              <w:t>ანი</w:t>
            </w:r>
          </w:p>
          <w:p w:rsidR="00A975C5" w:rsidRDefault="00A975C5">
            <w:pPr>
              <w:rPr>
                <w:sz w:val="24"/>
                <w:szCs w:val="24"/>
              </w:rPr>
            </w:pPr>
          </w:p>
        </w:tc>
        <w:tc>
          <w:tcPr>
            <w:tcW w:w="10045" w:type="dxa"/>
          </w:tcPr>
          <w:p w:rsidR="00A975C5" w:rsidRDefault="002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მუსიკოლოგიის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მიზანია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სტუდენტს</w:t>
            </w:r>
            <w:r>
              <w:rPr>
                <w:sz w:val="24"/>
                <w:szCs w:val="24"/>
              </w:rPr>
              <w:t xml:space="preserve">: 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მისცეს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ზოგადი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ცოდნა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დისციპლინებში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უძველესიდან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უახლეს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დრომდე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მომიჯნავე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ჰუმანიტარულ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დარგებში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არსებული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ცოდნის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მიმდინარე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პროცესების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გათვალისწინებით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მისცეს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საფუძვლიანი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ცოდნა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თეორიაში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ისტორიაში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ეროვნულ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ფოლკლორულ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საეკლესიო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მოამზადოს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სამუსიკო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ხელოვნების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ბაკალავრი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მუსიკოლოგიაში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შესძინოს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ფართო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ცოდნა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მუსიკოლოგიის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მიმართულებით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გამოუმუშავოს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როგორ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კვლევისათვის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</w:t>
            </w:r>
            <w:r>
              <w:rPr>
                <w:sz w:val="24"/>
                <w:szCs w:val="24"/>
              </w:rPr>
              <w:t>სე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პრაქტიკული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საქმიანობისთვის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მათ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შორის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პედაგოგიური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კულტურულ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პუბლიცისტურ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კრიტიკული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</w:t>
            </w:r>
            <w:r>
              <w:rPr>
                <w:sz w:val="24"/>
                <w:szCs w:val="24"/>
              </w:rPr>
              <w:t xml:space="preserve">.) </w:t>
            </w:r>
            <w:r>
              <w:rPr>
                <w:sz w:val="24"/>
                <w:szCs w:val="24"/>
              </w:rPr>
              <w:t>აუცილებელი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უნარები</w:t>
            </w:r>
            <w:r>
              <w:rPr>
                <w:sz w:val="24"/>
                <w:szCs w:val="24"/>
              </w:rPr>
              <w:t>;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გამოუმუშავოს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წინაშე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წამოჭრილი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სახის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პრობლემის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გადაჭრისათვის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საჭირო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ეფექტური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მიდგომები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საკუთარი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მოსაზრებებისა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დასკვნების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არგუმენტირებულად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ტერმინოლოგიით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როგორც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წერითი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ისე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ზეპირი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ფორმით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დასაბუთების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უნარი</w:t>
            </w:r>
            <w:r>
              <w:rPr>
                <w:sz w:val="24"/>
                <w:szCs w:val="24"/>
              </w:rPr>
              <w:t>;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ასწავლოს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გამოუმუშავოს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ქართულ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საჭიროების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შემთხვევაში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უცხოურ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ენაზე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მათ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შორის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კვლევითი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პუბლიცისტური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საქმიანობისთვის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საჭირო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რესურსების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მოძიების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შერჩევის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კეთილსინდისიერად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გამოყენების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უნარი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გამოუმუშავოს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დარგის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შესაბამისი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თანამედროვე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კომპიუტერული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</w:t>
            </w:r>
            <w:r>
              <w:rPr>
                <w:sz w:val="24"/>
                <w:szCs w:val="24"/>
              </w:rPr>
              <w:t>ექნოლოგიებით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უნარები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გამოუმუშაოს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ტიპის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აუდიტორიასთან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ნაყოფიერი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ეფექტური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ეთიკური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კომუნიკაციის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უნარი</w:t>
            </w:r>
            <w:r>
              <w:rPr>
                <w:sz w:val="24"/>
                <w:szCs w:val="24"/>
              </w:rPr>
              <w:t xml:space="preserve">; 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გამოუმუშავოს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პუბლიცისტურ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კრიტიკული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კულტურულ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კვლევითი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ტიპის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შემოქმედებითი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პრაქტიკული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საქმიანობის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პროექტის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დაგეგმვის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გადაწყვეტილების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განხორციელებისა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უნარი</w:t>
            </w:r>
            <w:r>
              <w:rPr>
                <w:sz w:val="24"/>
                <w:szCs w:val="24"/>
              </w:rPr>
              <w:t>;</w:t>
            </w:r>
          </w:p>
          <w:p w:rsidR="00A975C5" w:rsidRDefault="00A975C5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გამოუმუშავოს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ეთიკური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ქცევის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ნორმებისა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ღირებულებების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გათვალისწინებით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მოქმედების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უნარები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975C5" w:rsidTr="00A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სწავლის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შედეგები</w:t>
            </w:r>
            <w:r>
              <w:rPr>
                <w:sz w:val="24"/>
                <w:szCs w:val="24"/>
              </w:rPr>
              <w:t xml:space="preserve"> </w:t>
            </w:r>
          </w:p>
          <w:p w:rsidR="00A975C5" w:rsidRDefault="00A975C5">
            <w:pPr>
              <w:rPr>
                <w:sz w:val="24"/>
                <w:szCs w:val="24"/>
              </w:rPr>
            </w:pP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ცოდნა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და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გაცნობიერება</w:t>
            </w:r>
            <w:r>
              <w:rPr>
                <w:b/>
                <w:sz w:val="24"/>
                <w:szCs w:val="24"/>
              </w:rPr>
              <w:t>:</w:t>
            </w:r>
          </w:p>
          <w:p w:rsidR="00A975C5" w:rsidRDefault="00A975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ასხვავებს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აღწერს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ხელოვნების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განვითარების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პროცესებს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უძველესიდან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უახლეს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დრომდე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იაზრებს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წარმოაჩენს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ზოგად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ისტორიული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ჰუმანიტარული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სახელოვნებათმცოდნეო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პროცესების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კონტექსტში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განსაზღვრავს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ფლობს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ისტორიის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თეორიის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ეროვნული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ფოლკლორული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საეკლესიო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ძირითად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მნიშვნელოვან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საკითხებს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როგორც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თეორიულად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ისე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პრაქტიკულად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იცნობს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სპეციალურთან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მომიჯნავე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დისციპლინების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საფუძვლებს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საჭიროებისამებრ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იყენებს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კვლევითი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თუ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პრაქტიკული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საქმიანობისას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საჭიროებისამებრ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შეუძლია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ხმით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ინსტრუმენტზე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ნაწარმოების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ნაწარმო</w:t>
            </w:r>
            <w:r>
              <w:rPr>
                <w:sz w:val="24"/>
                <w:szCs w:val="24"/>
              </w:rPr>
              <w:t>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ფრაგმენტის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შესრულება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იცნობს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იყენებს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ტიპის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ტექსტის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სამეცნიერო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პუბლიცისტური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ნაშრომი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აგების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საერთაშორისოდ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სტანდარტებს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ტექნიკებს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ფლობს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კომპიუტერულ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პროგრამას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პროგრამებს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იცნობს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ფუნდამენტურ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ზოგიერთ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უახლეს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>ესიულ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ლიტერატურას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როგორც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ქართულ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ისე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უცხო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ენაზე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ენებზე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იცნობს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საკონფერენციო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საპრეზენტაციო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საშემსრულებლო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გამოსვლების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წესებსა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ეთიკას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იცნობს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ასხვავებს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განსაზღვრავს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კრიტიკისა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ჟურნალისტიკის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ძირითად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პრინციპებს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მნიშვნელოვან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გამოცემებს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ა</w:t>
            </w:r>
            <w:r>
              <w:rPr>
                <w:sz w:val="24"/>
                <w:szCs w:val="24"/>
              </w:rPr>
              <w:t>ვტორებს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პრესა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რადიო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ტელევიზია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ინტერნეტი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ქვეყნის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კულტურული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ცხოვრების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მნიშვნელოვან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მოვლენებს</w:t>
            </w:r>
            <w:r>
              <w:rPr>
                <w:sz w:val="24"/>
                <w:szCs w:val="24"/>
              </w:rPr>
              <w:t>.</w:t>
            </w:r>
          </w:p>
          <w:p w:rsidR="00A975C5" w:rsidRDefault="0026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უნარები</w:t>
            </w:r>
            <w:r>
              <w:rPr>
                <w:b/>
                <w:sz w:val="24"/>
                <w:szCs w:val="24"/>
              </w:rPr>
              <w:t>:</w:t>
            </w:r>
          </w:p>
          <w:p w:rsidR="00A975C5" w:rsidRDefault="00A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ერთმანეთს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უკავშირებს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განაზოგადებს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გათვალისწინებული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დისციპლინებისა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ზოგადი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ჰუმანტარული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საგნების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შესწავლის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შედეგად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თეორიულ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პრაქტიკულ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ცოდნასა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გამოცდილებას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შეუძლია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დემონსტრირება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კვლევით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თუ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პრაქტიკულ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</w:t>
            </w:r>
            <w:r>
              <w:rPr>
                <w:sz w:val="24"/>
                <w:szCs w:val="24"/>
              </w:rPr>
              <w:t>ქმიანობაში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რუტინულ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არაპროგნოზირებად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სიტუაციებში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გამოყენება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sz w:val="24"/>
                <w:szCs w:val="24"/>
              </w:rPr>
              <w:t>ხელმძღვანელის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ზედამხედველობით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ასრულებს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მასშტაბის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ნაშრომს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მათ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შორის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ნაშრომს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მერვე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სემესტრში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ისტორიის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თეორიის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ეროვნული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ფოლკლორული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საეკლესი</w:t>
            </w:r>
            <w:r>
              <w:rPr>
                <w:sz w:val="24"/>
                <w:szCs w:val="24"/>
              </w:rPr>
              <w:t>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მიმართულებით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პროცესში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ტექსტზე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საჭიროების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შემთხვევაში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აფიქსირებს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ინსტრუმენტზე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ხმით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ასრულებს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ნაშრომის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შესახებ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არგუმენტირებულად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მსჯელობს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იცავს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საკუთარ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შეხედულებებს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ნაშრომის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წარდგენისას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იყენებს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შესაბამის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თანამედრო</w:t>
            </w:r>
            <w:r>
              <w:rPr>
                <w:sz w:val="24"/>
                <w:szCs w:val="24"/>
              </w:rPr>
              <w:t>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ტექნოლოგიას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მოიძიებს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ინტერნეტსა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ბიბლიოთეკებში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მიზნის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მისაღწევად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საჭირო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წყაროებს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არჩევს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იყენებს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აკადემიური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კეთილსინდისიერების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პრინციპების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დაცვით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წერს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მეტყველებს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გამართულად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არგუმენტირებულად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ტერმინოლოგიი</w:t>
            </w:r>
            <w:r>
              <w:rPr>
                <w:sz w:val="24"/>
                <w:szCs w:val="24"/>
              </w:rPr>
              <w:t>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სათანადო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გამოყენებით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წარმოაჩენს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პრეზენტაციის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ვერბალური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ვიზუალური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შინაარსობრივი</w:t>
            </w:r>
            <w:r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>უნარს</w:t>
            </w:r>
            <w:r>
              <w:rPr>
                <w:sz w:val="24"/>
                <w:szCs w:val="24"/>
              </w:rPr>
              <w:t xml:space="preserve">;  </w:t>
            </w:r>
            <w:r>
              <w:rPr>
                <w:sz w:val="24"/>
                <w:szCs w:val="24"/>
              </w:rPr>
              <w:t>საქმიანად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პროფესიულად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ეთიკურად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ურთიერთობს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ტიპის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აუდიტორიასთან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A9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პასუხისმგებლობა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და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ავტონომიურობა</w:t>
            </w:r>
            <w:r>
              <w:rPr>
                <w:b/>
                <w:sz w:val="24"/>
                <w:szCs w:val="24"/>
              </w:rPr>
              <w:t>:</w:t>
            </w:r>
          </w:p>
          <w:p w:rsidR="00A975C5" w:rsidRDefault="00265A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ტიპის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საქმიანობისას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პასუხისმგებლობას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იღებს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მიერ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გაცემული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ინფორმაციის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სისწორესა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კომპეტენტურობაზე</w:t>
            </w:r>
            <w:r>
              <w:rPr>
                <w:sz w:val="24"/>
                <w:szCs w:val="24"/>
              </w:rPr>
              <w:t>.</w:t>
            </w:r>
          </w:p>
          <w:p w:rsidR="00A975C5" w:rsidRDefault="00265A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დამოუკიდებლად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განსაზღვრავს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საკუთარ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საჭიროებებს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გეგმავს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სამომავლო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კარიერას</w:t>
            </w:r>
            <w:r>
              <w:rPr>
                <w:sz w:val="24"/>
                <w:szCs w:val="24"/>
              </w:rPr>
              <w:t>.</w:t>
            </w:r>
          </w:p>
          <w:p w:rsidR="00A975C5" w:rsidRDefault="00265A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კოლეგიალურია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პატივს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სცემს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მოსაზრებებს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პასუხისმგებლობას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იღებს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შესასრულებელ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შესრულებულ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სამუშაოზე</w:t>
            </w:r>
            <w:r>
              <w:rPr>
                <w:sz w:val="24"/>
                <w:szCs w:val="24"/>
              </w:rPr>
              <w:t>.</w:t>
            </w:r>
          </w:p>
          <w:p w:rsidR="00A975C5" w:rsidRDefault="00265A4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ტიპის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საქმიანობისას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საქმიანობის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განხორციელებისას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როგორც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დამოუკიდებლად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ისე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გუნდურად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5C5" w:rsidTr="00A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სწავლება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სწავლის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მეთოდები</w:t>
            </w:r>
            <w:r>
              <w:rPr>
                <w:sz w:val="24"/>
                <w:szCs w:val="24"/>
              </w:rPr>
              <w:t xml:space="preserve"> </w:t>
            </w:r>
          </w:p>
          <w:p w:rsidR="00A975C5" w:rsidRDefault="00A975C5">
            <w:pPr>
              <w:rPr>
                <w:sz w:val="24"/>
                <w:szCs w:val="24"/>
              </w:rPr>
            </w:pPr>
          </w:p>
        </w:tc>
        <w:tc>
          <w:tcPr>
            <w:tcW w:w="10045" w:type="dxa"/>
          </w:tcPr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წიგნზე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აუდიო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ვიდეო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ჩანაწერზე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სანოტო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მასალაზე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მეთოდი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დემონსტრირების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მეთოდი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ჯგუფური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ინდივიდუალური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სწავლების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მეთოდი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სახის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შემოქმედებითი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მიღწევების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ანალიზის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მეთოდი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როლური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სიტუაციური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თამაშის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მეთოდი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პრაქტიკული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სწავლების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მეთოდი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შემთხვევის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ანალიზი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უნარების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ფორმირების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განვითარების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მიზნით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დამოუკიდებელი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აუდიტორიის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გარეშე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მეთოდი</w:t>
            </w:r>
            <w:r>
              <w:rPr>
                <w:sz w:val="24"/>
                <w:szCs w:val="24"/>
              </w:rPr>
              <w:t>;</w:t>
            </w:r>
          </w:p>
          <w:p w:rsidR="00A975C5" w:rsidRDefault="00A975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სწავლების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პროცესში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გამოიყენება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შემდეგი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ფორმები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ლექციები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პრაქტიკული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მეცადინეობები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სემინარები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სტუდიური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რეპეტიციული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მეცადინეობები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მათ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შორის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შემოქმედებითი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პროექტების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კონფერენციები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კონცერტები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კონკურსები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ფესტივალები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განსახორციელებლად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გარემოში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კონსერვატორიის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მცირე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დიდი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დარბაზები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ხმის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ჩამწერი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სტუდია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პროფესიული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მასტერკლა</w:t>
            </w:r>
            <w:r>
              <w:rPr>
                <w:sz w:val="24"/>
                <w:szCs w:val="24"/>
              </w:rPr>
              <w:t>სები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ვორკშოპები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5C5" w:rsidTr="00A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შეფასების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სისტემა</w:t>
            </w:r>
          </w:p>
          <w:p w:rsidR="00A975C5" w:rsidRDefault="00A975C5">
            <w:pPr>
              <w:rPr>
                <w:sz w:val="24"/>
                <w:szCs w:val="24"/>
              </w:rPr>
            </w:pP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სტუდენტის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მოიცავს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როგორც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განმავითარებელ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ასევე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შემაჯამებელ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შეფასებებს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რომელთა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შესახებ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დეტალური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ინფორმაცია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რუბრიკები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წარმოდგენილია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კურსების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სილაბუსებში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შეფასებათა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სისტემა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უშვებს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ხუთი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სახის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დადებით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შეფასებას</w:t>
            </w:r>
            <w:r>
              <w:rPr>
                <w:sz w:val="24"/>
                <w:szCs w:val="24"/>
              </w:rPr>
              <w:t>: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</w:t>
            </w:r>
            <w:r>
              <w:rPr>
                <w:sz w:val="24"/>
                <w:szCs w:val="24"/>
              </w:rPr>
              <w:t xml:space="preserve">) (A) </w:t>
            </w:r>
            <w:r>
              <w:rPr>
                <w:sz w:val="24"/>
                <w:szCs w:val="24"/>
              </w:rPr>
              <w:t>ფრიადი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91-100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ბ</w:t>
            </w:r>
            <w:r>
              <w:rPr>
                <w:sz w:val="24"/>
                <w:szCs w:val="24"/>
              </w:rPr>
              <w:t xml:space="preserve">) (B) </w:t>
            </w:r>
            <w:r>
              <w:rPr>
                <w:sz w:val="24"/>
                <w:szCs w:val="24"/>
              </w:rPr>
              <w:t>ძალიან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კარგი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81-90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</w:t>
            </w:r>
            <w:r>
              <w:rPr>
                <w:sz w:val="24"/>
                <w:szCs w:val="24"/>
              </w:rPr>
              <w:t xml:space="preserve">) (C) </w:t>
            </w:r>
            <w:r>
              <w:rPr>
                <w:sz w:val="24"/>
                <w:szCs w:val="24"/>
              </w:rPr>
              <w:t>კარგი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71-80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</w:t>
            </w:r>
            <w:r>
              <w:rPr>
                <w:sz w:val="24"/>
                <w:szCs w:val="24"/>
              </w:rPr>
              <w:t xml:space="preserve">) (D) </w:t>
            </w:r>
            <w:r>
              <w:rPr>
                <w:sz w:val="24"/>
                <w:szCs w:val="24"/>
              </w:rPr>
              <w:t>დამაკმაყოფილებელი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61-70 </w:t>
            </w:r>
            <w:r>
              <w:rPr>
                <w:sz w:val="24"/>
                <w:szCs w:val="24"/>
              </w:rPr>
              <w:t>ქუ</w:t>
            </w:r>
            <w:r>
              <w:rPr>
                <w:sz w:val="24"/>
                <w:szCs w:val="24"/>
              </w:rPr>
              <w:t>ლა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ე</w:t>
            </w:r>
            <w:r>
              <w:rPr>
                <w:sz w:val="24"/>
                <w:szCs w:val="24"/>
              </w:rPr>
              <w:t xml:space="preserve">) (E) </w:t>
            </w:r>
            <w:r>
              <w:rPr>
                <w:sz w:val="24"/>
                <w:szCs w:val="24"/>
              </w:rPr>
              <w:t>საკმარისი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51-60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;</w:t>
            </w:r>
          </w:p>
          <w:p w:rsidR="00A975C5" w:rsidRDefault="00A975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არსებობს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უარყოფითი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>: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(FX) </w:t>
            </w:r>
            <w:r>
              <w:rPr>
                <w:sz w:val="24"/>
                <w:szCs w:val="24"/>
              </w:rPr>
              <w:t>ვერ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ჩააბარა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41-50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რაც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ნიშნავს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რომ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სტუდენტს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ჩასაბარებლად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მეტი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სჭირდება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ეძლევა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დამოუკიდებელი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ხელახლა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გასვლის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უფლება</w:t>
            </w:r>
            <w:r>
              <w:rPr>
                <w:sz w:val="24"/>
                <w:szCs w:val="24"/>
              </w:rPr>
              <w:t>;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(F) </w:t>
            </w:r>
            <w:r>
              <w:rPr>
                <w:sz w:val="24"/>
                <w:szCs w:val="24"/>
              </w:rPr>
              <w:t>ჩაიჭრა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მაქსიმალური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40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ნაკლები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რაც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ნიშნავს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რომ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</w:t>
            </w:r>
            <w:r>
              <w:rPr>
                <w:sz w:val="24"/>
                <w:szCs w:val="24"/>
              </w:rPr>
              <w:t>დენტის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მიერ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ჩატარებული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სამუშაო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საკმარისი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ახლიდან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აქვს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შესასწავლი</w:t>
            </w:r>
            <w:r>
              <w:rPr>
                <w:sz w:val="24"/>
                <w:szCs w:val="24"/>
              </w:rPr>
              <w:t>.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მუსიკოლოგიის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კომპონენტში</w:t>
            </w:r>
            <w:r>
              <w:rPr>
                <w:sz w:val="24"/>
                <w:szCs w:val="24"/>
              </w:rPr>
              <w:t>, FX-</w:t>
            </w:r>
            <w:r>
              <w:rPr>
                <w:sz w:val="24"/>
                <w:szCs w:val="24"/>
              </w:rPr>
              <w:t>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შემთხვევაში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დამატებითი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დაინიშნება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დასკვნითი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შედეგების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გამოცხადებიდან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არანაკლებ</w:t>
            </w:r>
            <w:r>
              <w:rPr>
                <w:sz w:val="24"/>
                <w:szCs w:val="24"/>
              </w:rPr>
              <w:t xml:space="preserve"> 5 </w:t>
            </w:r>
            <w:r>
              <w:rPr>
                <w:sz w:val="24"/>
                <w:szCs w:val="24"/>
              </w:rPr>
              <w:t>კალენდარულ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დღეში</w:t>
            </w:r>
            <w:r>
              <w:rPr>
                <w:sz w:val="24"/>
                <w:szCs w:val="24"/>
              </w:rPr>
              <w:t>.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სტუდენტის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მიერ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დამატებით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ემატება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დასკვნით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ქულათა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რაოდენობა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დამატებით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დასკვნითი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აისახება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კომპონენტის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საბოლოო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შეფასებაშ</w:t>
            </w:r>
            <w:r>
              <w:rPr>
                <w:sz w:val="24"/>
                <w:szCs w:val="24"/>
              </w:rPr>
              <w:t>ი</w:t>
            </w:r>
            <w:r>
              <w:rPr>
                <w:sz w:val="24"/>
                <w:szCs w:val="24"/>
              </w:rPr>
              <w:t>.</w:t>
            </w:r>
          </w:p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დამატებით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გამოცდაზე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გათვალისწინებით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კომპონენტის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საბოლოო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შეფასებაში</w:t>
            </w:r>
            <w:r>
              <w:rPr>
                <w:sz w:val="24"/>
                <w:szCs w:val="24"/>
              </w:rPr>
              <w:t xml:space="preserve"> 0-50 </w:t>
            </w:r>
            <w:r>
              <w:rPr>
                <w:sz w:val="24"/>
                <w:szCs w:val="24"/>
              </w:rPr>
              <w:t>ქულის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შემთხვევაში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სტუდენტს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უფორმდება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შეფასება</w:t>
            </w:r>
            <w:r>
              <w:rPr>
                <w:sz w:val="24"/>
                <w:szCs w:val="24"/>
              </w:rPr>
              <w:t xml:space="preserve"> F-0 </w:t>
            </w:r>
            <w:r>
              <w:rPr>
                <w:sz w:val="24"/>
                <w:szCs w:val="24"/>
              </w:rPr>
              <w:t>ქულა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5C5" w:rsidTr="00A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დასაქმების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სფეროები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კურსდამთავრებულს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თავისუფალი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შემოქმედების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გარდა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შეუძლია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დასაქმდეს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ისეთ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პროფესიულ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შემოქმედებით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დაწესებულებებში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როგორიცაა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ბეჭდური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ონლაინ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მედია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ტელევიზია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რადიო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ოპერის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თეატრი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საკონცერტო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დაწესებულებები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დარგობრივი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მუზეუმები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არჩეული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მაი</w:t>
            </w:r>
            <w:r>
              <w:rPr>
                <w:sz w:val="24"/>
                <w:szCs w:val="24"/>
              </w:rPr>
              <w:t>ნორ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მიხედვით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სამუსიკო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საჯარო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სკოლაში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ხმის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ჩამწერ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სტუდიებში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ტექნოლოგიასთან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დაკავშირებულ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ინდუსტრიებში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A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კურსდამთავრებულს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შეუძლია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სწავლა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განაგრძოს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საქართველოს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ქვეყნების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უმაღლეს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დაწ</w:t>
            </w:r>
            <w:r>
              <w:rPr>
                <w:sz w:val="24"/>
                <w:szCs w:val="24"/>
              </w:rPr>
              <w:t>ესებულებებში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მუსიკოლოგიის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სამაგისტრო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პროგრამაზე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რომელიც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ორიენტირებულია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შემდგომი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დონის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მკვლევარის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მომზადებაზე</w:t>
            </w:r>
            <w:r>
              <w:rPr>
                <w:sz w:val="24"/>
                <w:szCs w:val="24"/>
              </w:rPr>
              <w:t>.</w:t>
            </w:r>
          </w:p>
          <w:p w:rsidR="00A975C5" w:rsidRDefault="00A975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კურსდამთავრებულს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ასევე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შეუძლია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სწავლა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გააგრძელოს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ნებისმიერი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მიმართულების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სამაგისტრო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პროგრამაზე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თუ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პროგრამაზე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მიღების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წინაპი</w:t>
            </w:r>
            <w:r>
              <w:rPr>
                <w:sz w:val="24"/>
                <w:szCs w:val="24"/>
              </w:rPr>
              <w:t>რობა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შეზღუდული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სპეციალობის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ბაკალავრის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აკადემიური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ხარისხით</w:t>
            </w:r>
            <w:r>
              <w:rPr>
                <w:sz w:val="24"/>
                <w:szCs w:val="24"/>
              </w:rPr>
              <w:t>.</w:t>
            </w:r>
          </w:p>
        </w:tc>
      </w:tr>
      <w:tr w:rsidR="00A975C5" w:rsidTr="00A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სწავლის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საფასური</w:t>
            </w:r>
          </w:p>
          <w:p w:rsidR="00A975C5" w:rsidRDefault="00A975C5">
            <w:pPr>
              <w:rPr>
                <w:sz w:val="24"/>
                <w:szCs w:val="24"/>
              </w:rPr>
            </w:pP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2250 </w:t>
            </w:r>
            <w:r>
              <w:rPr>
                <w:sz w:val="24"/>
                <w:szCs w:val="24"/>
              </w:rPr>
              <w:t>ლარი</w:t>
            </w:r>
          </w:p>
        </w:tc>
      </w:tr>
      <w:tr w:rsidR="00A975C5" w:rsidTr="00A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პროგრამის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განხორციელებისათვის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საჭირო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ადამიანური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მატერიალური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რესურსი</w:t>
            </w:r>
          </w:p>
          <w:p w:rsidR="00A975C5" w:rsidRDefault="00A975C5">
            <w:pPr>
              <w:rPr>
                <w:sz w:val="24"/>
                <w:szCs w:val="24"/>
              </w:rPr>
            </w:pP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განხორციელება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უზრუნველყოფილია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შესაბამისი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ადამიანური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რესუ</w:t>
            </w:r>
            <w:r>
              <w:rPr>
                <w:sz w:val="24"/>
                <w:szCs w:val="24"/>
              </w:rPr>
              <w:t>რსით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A975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სახელდობრ</w:t>
            </w:r>
            <w:r>
              <w:rPr>
                <w:sz w:val="24"/>
                <w:szCs w:val="24"/>
              </w:rPr>
              <w:t>: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მუსიკის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ისტორიის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მიმართულება</w:t>
            </w:r>
            <w:r>
              <w:rPr>
                <w:b/>
                <w:sz w:val="24"/>
                <w:szCs w:val="24"/>
              </w:rPr>
              <w:t>: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ემერიტუსი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რუსუდან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წურწუმია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მარინა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ქავთარაძე</w:t>
            </w:r>
            <w:r>
              <w:rPr>
                <w:sz w:val="24"/>
                <w:szCs w:val="24"/>
              </w:rPr>
              <w:t xml:space="preserve">, 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ქეთევან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ბოლაშვილი</w:t>
            </w:r>
            <w:r>
              <w:rPr>
                <w:sz w:val="24"/>
                <w:szCs w:val="24"/>
              </w:rPr>
              <w:t xml:space="preserve"> 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ნანა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შარიქაძე</w:t>
            </w:r>
            <w:r>
              <w:rPr>
                <w:sz w:val="24"/>
                <w:szCs w:val="24"/>
              </w:rPr>
              <w:t xml:space="preserve"> 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გვანცა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ღვინჯილია</w:t>
            </w:r>
            <w:r>
              <w:rPr>
                <w:sz w:val="24"/>
                <w:szCs w:val="24"/>
              </w:rPr>
              <w:t xml:space="preserve"> 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მოწვ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მასწ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ლალი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კაკულია</w:t>
            </w:r>
            <w:r>
              <w:rPr>
                <w:sz w:val="24"/>
                <w:szCs w:val="24"/>
              </w:rPr>
              <w:t xml:space="preserve"> 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მოწვ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მასწ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ეკატერინე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ბუჩუკური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მოწვ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მასწ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მანანა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პაიჭაძე</w:t>
            </w:r>
          </w:p>
          <w:p w:rsidR="00A975C5" w:rsidRDefault="00A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მუსიკის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თეორიის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მიმართულება</w:t>
            </w:r>
            <w:r>
              <w:rPr>
                <w:b/>
                <w:sz w:val="24"/>
                <w:szCs w:val="24"/>
              </w:rPr>
              <w:t>:</w:t>
            </w:r>
          </w:p>
          <w:p w:rsidR="00A975C5" w:rsidRDefault="00265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ლეილა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მარუაშვილი</w:t>
            </w:r>
          </w:p>
          <w:p w:rsidR="00A975C5" w:rsidRDefault="00265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მარიკა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ნადარეიშვილი</w:t>
            </w:r>
          </w:p>
          <w:p w:rsidR="00A975C5" w:rsidRDefault="00265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თამარ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ჩხეიძე</w:t>
            </w:r>
          </w:p>
          <w:p w:rsidR="00A975C5" w:rsidRDefault="00265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ასოც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ტაბლიაშვილი</w:t>
            </w:r>
          </w:p>
          <w:p w:rsidR="00A975C5" w:rsidRDefault="00265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ასისტ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რუსუდან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თაბაგარი</w:t>
            </w:r>
          </w:p>
          <w:p w:rsidR="00A975C5" w:rsidRDefault="00265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მოწვ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მასწ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ლეილა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შარაშიძე</w:t>
            </w:r>
          </w:p>
          <w:p w:rsidR="00A975C5" w:rsidRDefault="00265A4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მოწვ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მასწ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გიორგი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ბერიაშვილი</w:t>
            </w:r>
          </w:p>
          <w:p w:rsidR="00A975C5" w:rsidRDefault="00A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ქა</w:t>
            </w:r>
            <w:r>
              <w:rPr>
                <w:b/>
                <w:sz w:val="24"/>
                <w:szCs w:val="24"/>
              </w:rPr>
              <w:t>რთული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ხალხური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მუსიკის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მიმართულება</w:t>
            </w:r>
            <w:r>
              <w:rPr>
                <w:b/>
                <w:sz w:val="24"/>
                <w:szCs w:val="24"/>
              </w:rPr>
              <w:t>: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ნატალია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ზუმბაძე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ოთარ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კაპანაძე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მოწვ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მასწ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ნინო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ღამბაშიძე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მოწვ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მასწ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მალხაზ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ერქვანიძე</w:t>
            </w:r>
          </w:p>
          <w:p w:rsidR="00A975C5" w:rsidRDefault="00A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საეკლესიო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მუსიკა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თამარ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ჩხეიძე</w:t>
            </w:r>
          </w:p>
          <w:p w:rsidR="00A975C5" w:rsidRDefault="00A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საკომპოზიტორო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მიმართულებიდან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ზურაბ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ნადარეიშვილი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გიორგი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შავერზაშვილი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მაკა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ვირსალაძე</w:t>
            </w:r>
          </w:p>
          <w:p w:rsidR="00A975C5" w:rsidRDefault="0026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ასოც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პროფ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ეკა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ჭაბაშვილი</w:t>
            </w:r>
          </w:p>
          <w:p w:rsidR="00A975C5" w:rsidRDefault="00A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განსახორციელებლად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კონსერვატორიას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გააჩნია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შემოქმედებითი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პრაქტიკული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სამეცნიერო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კვლევითი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მუშაობისთვის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შესაბამისი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მატერიალურ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ტექნიკური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ბაზა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აუდიტ</w:t>
            </w:r>
            <w:r>
              <w:rPr>
                <w:sz w:val="24"/>
                <w:szCs w:val="24"/>
              </w:rPr>
              <w:t>ორიები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ლაბორატორიები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საკონცერტო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სარეპეტიციო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დარბაზები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საოპერო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სტუდია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სტუდენტი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უზრუნველყოფილია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ბიბლიოთეკის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ფონოთეკის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მომსახურებით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ბიბლიოთეკის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წიგნადი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სანოტო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აუდიო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ფონდებით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კატალოგით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ბიბლიოთეკით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ინტერნეტში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ჩართული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</w:t>
            </w:r>
            <w:r>
              <w:rPr>
                <w:sz w:val="24"/>
                <w:szCs w:val="24"/>
              </w:rPr>
              <w:t>იუტერით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წიგნების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ნოტებისა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აუდიო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ვიდეომასალის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წამყვანი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საერთაშორისო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ბაზებით</w:t>
            </w:r>
            <w:r>
              <w:rPr>
                <w:sz w:val="24"/>
                <w:szCs w:val="24"/>
              </w:rPr>
              <w:t>).</w:t>
            </w:r>
          </w:p>
        </w:tc>
      </w:tr>
      <w:tr w:rsidR="00A975C5" w:rsidTr="00A97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ფინანსური</w:t>
            </w:r>
          </w:p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უზრუნველყოფა</w:t>
            </w:r>
          </w:p>
          <w:p w:rsidR="00A975C5" w:rsidRDefault="00A975C5">
            <w:pPr>
              <w:rPr>
                <w:sz w:val="24"/>
                <w:szCs w:val="24"/>
              </w:rPr>
            </w:pPr>
          </w:p>
        </w:tc>
        <w:tc>
          <w:tcPr>
            <w:tcW w:w="10045" w:type="dxa"/>
          </w:tcPr>
          <w:p w:rsidR="00A975C5" w:rsidRDefault="00265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იხ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დანართი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75C5" w:rsidTr="00A97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D0CECE"/>
          </w:tcPr>
          <w:p w:rsidR="00A975C5" w:rsidRDefault="00265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დამატებითი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ინფორმაცია</w:t>
            </w:r>
          </w:p>
          <w:p w:rsidR="00A975C5" w:rsidRDefault="00A975C5">
            <w:pPr>
              <w:rPr>
                <w:sz w:val="24"/>
                <w:szCs w:val="24"/>
              </w:rPr>
            </w:pPr>
          </w:p>
        </w:tc>
        <w:tc>
          <w:tcPr>
            <w:tcW w:w="10045" w:type="dxa"/>
          </w:tcPr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სტუდენტის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საუკეთესო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ინტერესების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გათვალისწინებით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ითვალისწინებს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მუსიკის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ტექნოლოგიის</w:t>
            </w:r>
            <w:r>
              <w:rPr>
                <w:b/>
                <w:sz w:val="24"/>
                <w:szCs w:val="24"/>
              </w:rPr>
              <w:t>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და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მუსიკის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მასწავლებლის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დამატებით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პროგრამებს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მასწავლებლის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დამატებითი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არჩევისა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წარმატებით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შემთხვევაში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კურსდამთავრებულს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საშუალება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ექნება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დასაქმდეს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მუსიკალურ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ზოგადსაგანმანათლებლო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დაწესებულებებში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მუსიკის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მასწავლებლად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მუსიკი</w:t>
            </w:r>
            <w:r>
              <w:rPr>
                <w:sz w:val="24"/>
                <w:szCs w:val="24"/>
              </w:rPr>
              <w:t>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ტექნოლოგიის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დამატებითი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გავლა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კურსდამთავრებულს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შეუწყობს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შესაბამისი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მიმართულებით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დასაქმებასა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სწავლის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შემდგომ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საფეხურზე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გაგრძელებაში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ზემოხსენებული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მაინორ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არჩევის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მიზნით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სტუდენტმა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კონსულტაციისათვის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მიმართოს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ხელძღვანელს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რის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შემდეგ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განცხადებით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მიმართავს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ფაკულტეტის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დეკანს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შერჩეული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არჩევანის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დაფიქსირებით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დამატებითი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არჩევა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განხორციელდეს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არაუგვიანეს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</w:t>
            </w:r>
            <w:r>
              <w:rPr>
                <w:sz w:val="24"/>
                <w:szCs w:val="24"/>
              </w:rPr>
              <w:t xml:space="preserve">-3 </w:t>
            </w:r>
            <w:r>
              <w:rPr>
                <w:sz w:val="24"/>
                <w:szCs w:val="24"/>
              </w:rPr>
              <w:t>აკადემიური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სასწავლო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დასაწყისისა</w:t>
            </w:r>
            <w:r>
              <w:rPr>
                <w:sz w:val="24"/>
                <w:szCs w:val="24"/>
              </w:rPr>
              <w:t xml:space="preserve">. </w:t>
            </w:r>
          </w:p>
          <w:p w:rsidR="00A975C5" w:rsidRDefault="00A975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975C5" w:rsidRDefault="00265A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ნაშრომის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სავარაუდო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თემისა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სპეციფიკის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გათვალისწინებით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სტუდენტ</w:t>
            </w:r>
            <w:r>
              <w:rPr>
                <w:sz w:val="24"/>
                <w:szCs w:val="24"/>
              </w:rPr>
              <w:t>მა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ინდივიდუალური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კონსულტირებისთვის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უნდა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მიმართოს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პროგრამის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აკადემიურ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პერსონალ</w:t>
            </w:r>
            <w:r>
              <w:rPr>
                <w:sz w:val="24"/>
                <w:szCs w:val="24"/>
              </w:rPr>
              <w:t>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სწავლების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</w:t>
            </w:r>
            <w:r>
              <w:rPr>
                <w:sz w:val="24"/>
                <w:szCs w:val="24"/>
              </w:rPr>
              <w:t xml:space="preserve">-6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</w:t>
            </w:r>
            <w:r>
              <w:rPr>
                <w:sz w:val="24"/>
                <w:szCs w:val="24"/>
              </w:rPr>
              <w:t xml:space="preserve">-7 </w:t>
            </w:r>
            <w:r>
              <w:rPr>
                <w:sz w:val="24"/>
                <w:szCs w:val="24"/>
              </w:rPr>
              <w:t>სემესტრებში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საჭიროების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შემთხვევ</w:t>
            </w:r>
            <w:r>
              <w:rPr>
                <w:sz w:val="24"/>
                <w:szCs w:val="24"/>
              </w:rPr>
              <w:t>აში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შეუძლია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ისარგებლოს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ერთზე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მეტი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სხვადასხვა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დარგის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წარმომადგენელი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აკადემიური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პერსონალის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კონსულტაციით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ხოლო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მერვე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სემესტრში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ნაშრომს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ასრულებს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ხელმძღვანელის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ზედამხედველობით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ნაშრომის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კონსულტირებასა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ხელმძღვანელობასთან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დაკავშირებუ</w:t>
            </w:r>
            <w:r>
              <w:rPr>
                <w:sz w:val="24"/>
                <w:szCs w:val="24"/>
              </w:rPr>
              <w:t>ლი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დეტალური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ინფორმაცია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იხ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საბაკალავრო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სამაგისტრო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ნაშრომის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გაფორმების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წესში</w:t>
            </w:r>
            <w:r>
              <w:rPr>
                <w:sz w:val="24"/>
                <w:szCs w:val="24"/>
              </w:rPr>
              <w:t>. </w:t>
            </w:r>
          </w:p>
        </w:tc>
      </w:tr>
    </w:tbl>
    <w:p w:rsidR="00A975C5" w:rsidRDefault="00A975C5">
      <w:pPr>
        <w:rPr>
          <w:sz w:val="24"/>
          <w:szCs w:val="24"/>
        </w:rPr>
      </w:pPr>
      <w:bookmarkStart w:id="2" w:name="_heading=h.gjdgxs" w:colFirst="0" w:colLast="0"/>
      <w:bookmarkEnd w:id="2"/>
    </w:p>
    <w:sectPr w:rsidR="00A975C5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3A"/>
    <w:multiLevelType w:val="multilevel"/>
    <w:tmpl w:val="16228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EC6791"/>
    <w:multiLevelType w:val="multilevel"/>
    <w:tmpl w:val="DEB4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4637"/>
    <w:multiLevelType w:val="multilevel"/>
    <w:tmpl w:val="D146E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5350"/>
    <w:multiLevelType w:val="multilevel"/>
    <w:tmpl w:val="F744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A5756"/>
    <w:multiLevelType w:val="multilevel"/>
    <w:tmpl w:val="83C6D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C5"/>
    <w:rsid w:val="00265A4C"/>
    <w:rsid w:val="00A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346E"/>
  <w15:docId w15:val="{9EE4240A-E9E5-48A1-9466-86BD78C6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67D15"/>
    <w:pPr>
      <w:ind w:left="720"/>
      <w:contextualSpacing/>
    </w:pPr>
  </w:style>
  <w:style w:type="table" w:styleId="TableGrid">
    <w:name w:val="Table Grid"/>
    <w:basedOn w:val="TableNormal"/>
    <w:uiPriority w:val="59"/>
    <w:rsid w:val="0046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7D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D15"/>
    <w:rPr>
      <w:vertAlign w:val="superscript"/>
    </w:rPr>
  </w:style>
  <w:style w:type="table" w:styleId="PlainTable2">
    <w:name w:val="Plain Table 2"/>
    <w:basedOn w:val="TableNormal"/>
    <w:uiPriority w:val="42"/>
    <w:rsid w:val="00467D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0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FC"/>
  </w:style>
  <w:style w:type="paragraph" w:styleId="Footer">
    <w:name w:val="footer"/>
    <w:basedOn w:val="Normal"/>
    <w:link w:val="FooterChar"/>
    <w:uiPriority w:val="99"/>
    <w:unhideWhenUsed/>
    <w:rsid w:val="00E6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F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A36C2"/>
    <w:rPr>
      <w:color w:val="0000FF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K9dyVx8eKO50Z4y4c+ZzVAl3QQ==">AMUW2mVBvqgqd1vEvWxUxOO7x5U8q2im8QJ70AjS7V0AUvbmrywyTT53o2WBnzIYQWWXLF/vb+N0XFs60n3ZlJLvZFOFfjStfFdYW3y+c016AV+oYfF6VXbMB506C1RThl9BFHGCdsHB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9959</Characters>
  <Application>Microsoft Office Word</Application>
  <DocSecurity>0</DocSecurity>
  <Lines>82</Lines>
  <Paragraphs>23</Paragraphs>
  <ScaleCrop>false</ScaleCrop>
  <Company>HP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anny.zhorzholiani@gmail.com</dc:creator>
  <cp:lastModifiedBy>Mako Avaliani</cp:lastModifiedBy>
  <cp:revision>2</cp:revision>
  <dcterms:created xsi:type="dcterms:W3CDTF">2022-11-08T17:54:00Z</dcterms:created>
  <dcterms:modified xsi:type="dcterms:W3CDTF">2023-09-03T06:42:00Z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c2ae9f3d6457a19a42f7a4a95610de8704a9b6d970d5942ff29a09c5e6d74b9c</vt:lpwstr>
  </property>
</Properties>
</file>