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2D" w:rsidRDefault="00052082">
      <w:pPr>
        <w:spacing w:line="276" w:lineRule="auto"/>
        <w:jc w:val="center"/>
        <w:rPr>
          <w:rFonts w:ascii="Merriweather" w:eastAsia="Merriweather" w:hAnsi="Merriweather" w:cs="Merriweather"/>
        </w:rPr>
      </w:pPr>
      <w:r>
        <w:rPr>
          <w:rFonts w:ascii="Merriweather" w:eastAsia="Merriweather" w:hAnsi="Merriweather" w:cs="Merriweather"/>
          <w:b/>
          <w:noProof/>
          <w:lang w:val="en-GB"/>
        </w:rPr>
        <w:drawing>
          <wp:inline distT="0" distB="0" distL="0" distR="0">
            <wp:extent cx="530860" cy="528320"/>
            <wp:effectExtent l="0" t="0" r="0" b="0"/>
            <wp:docPr id="3"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8"/>
                    <a:srcRect/>
                    <a:stretch>
                      <a:fillRect/>
                    </a:stretch>
                  </pic:blipFill>
                  <pic:spPr>
                    <a:xfrm>
                      <a:off x="0" y="0"/>
                      <a:ext cx="530860" cy="528320"/>
                    </a:xfrm>
                    <a:prstGeom prst="rect">
                      <a:avLst/>
                    </a:prstGeom>
                    <a:ln/>
                  </pic:spPr>
                </pic:pic>
              </a:graphicData>
            </a:graphic>
          </wp:inline>
        </w:drawing>
      </w:r>
    </w:p>
    <w:tbl>
      <w:tblPr>
        <w:tblStyle w:val="a0"/>
        <w:tblW w:w="13030" w:type="dxa"/>
        <w:tblInd w:w="-567"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9769"/>
      </w:tblGrid>
      <w:tr w:rsidR="008A502D" w:rsidTr="008A5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A502D" w:rsidRDefault="00052082">
            <w:pPr>
              <w:spacing w:line="276" w:lineRule="auto"/>
              <w:rPr>
                <w:rFonts w:ascii="Merriweather" w:eastAsia="Merriweather" w:hAnsi="Merriweather" w:cs="Merriweather"/>
                <w:color w:val="000000"/>
              </w:rPr>
            </w:pPr>
            <w:r>
              <w:rPr>
                <w:rFonts w:ascii="Merriweather" w:eastAsia="Merriweather" w:hAnsi="Merriweather" w:cs="Merriweather"/>
                <w:color w:val="000000"/>
              </w:rPr>
              <w:t xml:space="preserve">Program Title </w:t>
            </w:r>
          </w:p>
          <w:p w:rsidR="008A502D" w:rsidRDefault="008A502D">
            <w:pPr>
              <w:spacing w:line="276" w:lineRule="auto"/>
              <w:rPr>
                <w:rFonts w:ascii="Merriweather" w:eastAsia="Merriweather" w:hAnsi="Merriweather" w:cs="Merriweather"/>
                <w:color w:val="000000"/>
              </w:rPr>
            </w:pPr>
          </w:p>
        </w:tc>
        <w:tc>
          <w:tcPr>
            <w:tcW w:w="9769" w:type="dxa"/>
          </w:tcPr>
          <w:p w:rsidR="008A502D" w:rsidRDefault="00052082">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Composition</w:t>
            </w:r>
          </w:p>
          <w:p w:rsidR="008A502D" w:rsidRDefault="008A502D">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ascii="Merriweather" w:eastAsia="Merriweather" w:hAnsi="Merriweather" w:cs="Merriweather"/>
              </w:rPr>
            </w:pPr>
          </w:p>
        </w:tc>
      </w:tr>
      <w:tr w:rsidR="008A502D" w:rsidTr="008A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A502D" w:rsidRDefault="00052082">
            <w:pPr>
              <w:spacing w:line="276" w:lineRule="auto"/>
              <w:rPr>
                <w:rFonts w:ascii="Merriweather" w:eastAsia="Merriweather" w:hAnsi="Merriweather" w:cs="Merriweather"/>
                <w:color w:val="000000"/>
              </w:rPr>
            </w:pPr>
            <w:r>
              <w:rPr>
                <w:rFonts w:ascii="Merriweather" w:eastAsia="Merriweather" w:hAnsi="Merriweather" w:cs="Merriweather"/>
                <w:color w:val="000000"/>
              </w:rPr>
              <w:t xml:space="preserve">Qualification </w:t>
            </w:r>
          </w:p>
          <w:p w:rsidR="008A502D" w:rsidRDefault="008A502D">
            <w:pPr>
              <w:spacing w:line="276" w:lineRule="auto"/>
              <w:rPr>
                <w:rFonts w:ascii="Merriweather" w:eastAsia="Merriweather" w:hAnsi="Merriweather" w:cs="Merriweather"/>
                <w:color w:val="000000"/>
              </w:rPr>
            </w:pPr>
            <w:bookmarkStart w:id="0" w:name="_heading=h.gjdgxs" w:colFirst="0" w:colLast="0"/>
            <w:bookmarkEnd w:id="0"/>
          </w:p>
        </w:tc>
        <w:tc>
          <w:tcPr>
            <w:tcW w:w="9769" w:type="dxa"/>
          </w:tcPr>
          <w:p w:rsidR="008A502D" w:rsidRPr="00726028" w:rsidRDefault="00726028" w:rsidP="00726028">
            <w:pPr>
              <w:cnfStyle w:val="000000100000" w:firstRow="0" w:lastRow="0" w:firstColumn="0" w:lastColumn="0" w:oddVBand="0" w:evenVBand="0" w:oddHBand="1" w:evenHBand="0" w:firstRowFirstColumn="0" w:firstRowLastColumn="0" w:lastRowFirstColumn="0" w:lastRowLastColumn="0"/>
              <w:rPr>
                <w:rFonts w:ascii="Sylfaen" w:hAnsi="Sylfaen" w:cs="Sylfaen"/>
                <w:color w:val="000000"/>
                <w:sz w:val="20"/>
                <w:szCs w:val="20"/>
              </w:rPr>
            </w:pPr>
            <w:r w:rsidRPr="00726028">
              <w:rPr>
                <w:rFonts w:ascii="Times New Roman" w:eastAsia="Times New Roman" w:hAnsi="Times New Roman" w:cs="Times New Roman"/>
              </w:rPr>
              <w:t>Bachelor of Arts (BA) in Composition</w:t>
            </w:r>
            <w:r>
              <w:rPr>
                <w:rFonts w:ascii="Sylfaen" w:hAnsi="Sylfaen" w:cs="Sylfaen"/>
                <w:color w:val="000000"/>
                <w:sz w:val="20"/>
                <w:szCs w:val="20"/>
              </w:rPr>
              <w:t xml:space="preserve"> </w:t>
            </w:r>
          </w:p>
        </w:tc>
      </w:tr>
      <w:tr w:rsidR="008A502D" w:rsidTr="008A502D">
        <w:trPr>
          <w:trHeight w:val="915"/>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A502D" w:rsidRDefault="00052082">
            <w:pPr>
              <w:spacing w:line="276" w:lineRule="auto"/>
              <w:rPr>
                <w:rFonts w:ascii="Merriweather" w:eastAsia="Merriweather" w:hAnsi="Merriweather" w:cs="Merriweather"/>
                <w:color w:val="000000"/>
              </w:rPr>
            </w:pPr>
            <w:r>
              <w:rPr>
                <w:rFonts w:ascii="Merriweather" w:eastAsia="Merriweather" w:hAnsi="Merriweather" w:cs="Merriweather"/>
                <w:color w:val="000000"/>
              </w:rPr>
              <w:t xml:space="preserve">ECTS Credits and Their Distribution </w:t>
            </w:r>
          </w:p>
        </w:tc>
        <w:tc>
          <w:tcPr>
            <w:tcW w:w="9769" w:type="dxa"/>
          </w:tcPr>
          <w:p w:rsidR="008A502D" w:rsidRDefault="0005208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240 ECTS</w:t>
            </w:r>
          </w:p>
          <w:p w:rsidR="008A502D" w:rsidRDefault="0005208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 bachelor's degree progra</w:t>
            </w:r>
            <w:bookmarkStart w:id="1" w:name="_GoBack"/>
            <w:bookmarkEnd w:id="1"/>
            <w:r>
              <w:rPr>
                <w:rFonts w:ascii="Times New Roman" w:eastAsia="Times New Roman" w:hAnsi="Times New Roman" w:cs="Times New Roman"/>
              </w:rPr>
              <w:t>m typically lasts four years or eight semesters.</w:t>
            </w:r>
          </w:p>
        </w:tc>
      </w:tr>
      <w:tr w:rsidR="008A502D" w:rsidTr="008A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A502D" w:rsidRDefault="00052082">
            <w:pPr>
              <w:spacing w:line="276" w:lineRule="auto"/>
              <w:rPr>
                <w:rFonts w:ascii="Merriweather" w:eastAsia="Merriweather" w:hAnsi="Merriweather" w:cs="Merriweather"/>
                <w:color w:val="000000"/>
              </w:rPr>
            </w:pPr>
            <w:r>
              <w:rPr>
                <w:rFonts w:ascii="Merriweather" w:eastAsia="Merriweather" w:hAnsi="Merriweather" w:cs="Merriweather"/>
                <w:color w:val="000000"/>
              </w:rPr>
              <w:t>Language of Study</w:t>
            </w:r>
          </w:p>
        </w:tc>
        <w:tc>
          <w:tcPr>
            <w:tcW w:w="9769" w:type="dxa"/>
          </w:tcPr>
          <w:p w:rsidR="008A502D" w:rsidRDefault="00052082">
            <w:pPr>
              <w:spacing w:line="276"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rPr>
            </w:pPr>
            <w:bookmarkStart w:id="2" w:name="_heading=h.30j0zll" w:colFirst="0" w:colLast="0"/>
            <w:bookmarkEnd w:id="2"/>
            <w:r>
              <w:rPr>
                <w:rFonts w:ascii="Merriweather" w:eastAsia="Merriweather" w:hAnsi="Merriweather" w:cs="Merriweather"/>
              </w:rPr>
              <w:t>English</w:t>
            </w:r>
          </w:p>
        </w:tc>
      </w:tr>
      <w:tr w:rsidR="008A502D" w:rsidTr="008A502D">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A502D" w:rsidRDefault="00052082">
            <w:pPr>
              <w:spacing w:line="276" w:lineRule="auto"/>
              <w:rPr>
                <w:rFonts w:ascii="Merriweather" w:eastAsia="Merriweather" w:hAnsi="Merriweather" w:cs="Merriweather"/>
                <w:color w:val="000000"/>
              </w:rPr>
            </w:pPr>
            <w:r>
              <w:rPr>
                <w:rFonts w:ascii="Merriweather" w:eastAsia="Merriweather" w:hAnsi="Merriweather" w:cs="Merriweather"/>
                <w:color w:val="000000"/>
              </w:rPr>
              <w:t>Program Lieder / Co-leader</w:t>
            </w:r>
          </w:p>
        </w:tc>
        <w:tc>
          <w:tcPr>
            <w:tcW w:w="9769" w:type="dxa"/>
          </w:tcPr>
          <w:p w:rsidR="008A502D" w:rsidRDefault="0005208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Professor </w:t>
            </w:r>
            <w:proofErr w:type="spellStart"/>
            <w:r>
              <w:rPr>
                <w:rFonts w:ascii="Times New Roman" w:eastAsia="Times New Roman" w:hAnsi="Times New Roman" w:cs="Times New Roman"/>
              </w:rPr>
              <w:t>Zurab</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Nadareishvili</w:t>
            </w:r>
            <w:proofErr w:type="spellEnd"/>
          </w:p>
          <w:p w:rsidR="008A502D" w:rsidRDefault="0005208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Associate Professor Maya (</w:t>
            </w:r>
            <w:proofErr w:type="spellStart"/>
            <w:r>
              <w:rPr>
                <w:rFonts w:ascii="Times New Roman" w:eastAsia="Times New Roman" w:hAnsi="Times New Roman" w:cs="Times New Roman"/>
              </w:rPr>
              <w:t>Maka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Virsaladze</w:t>
            </w:r>
            <w:proofErr w:type="spellEnd"/>
          </w:p>
        </w:tc>
      </w:tr>
      <w:tr w:rsidR="008A502D" w:rsidTr="008A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A502D" w:rsidRDefault="00052082">
            <w:pPr>
              <w:spacing w:line="276" w:lineRule="auto"/>
              <w:rPr>
                <w:rFonts w:ascii="Merriweather" w:eastAsia="Merriweather" w:hAnsi="Merriweather" w:cs="Merriweather"/>
                <w:color w:val="000000"/>
              </w:rPr>
            </w:pPr>
            <w:r>
              <w:rPr>
                <w:rFonts w:ascii="Merriweather" w:eastAsia="Merriweather" w:hAnsi="Merriweather" w:cs="Merriweather"/>
                <w:color w:val="000000"/>
              </w:rPr>
              <w:t xml:space="preserve">Minimum Admission Requirements </w:t>
            </w:r>
          </w:p>
        </w:tc>
        <w:tc>
          <w:tcPr>
            <w:tcW w:w="9769" w:type="dxa"/>
          </w:tcPr>
          <w:p w:rsidR="008A502D" w:rsidRDefault="0005208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following requirements must be met to be admitted to the undergraduate educational program in composition:</w:t>
            </w:r>
          </w:p>
          <w:p w:rsidR="008A502D" w:rsidRDefault="00052082">
            <w:pPr>
              <w:numPr>
                <w:ilvl w:val="0"/>
                <w:numId w:val="5"/>
              </w:numPr>
              <w:pBdr>
                <w:top w:val="nil"/>
                <w:left w:val="nil"/>
                <w:bottom w:val="nil"/>
                <w:right w:val="nil"/>
                <w:between w:val="nil"/>
              </w:pBd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High school diploma/</w:t>
            </w:r>
            <w:proofErr w:type="spellStart"/>
            <w:r>
              <w:rPr>
                <w:rFonts w:ascii="Times New Roman" w:eastAsia="Times New Roman" w:hAnsi="Times New Roman" w:cs="Times New Roman"/>
                <w:color w:val="000000"/>
              </w:rPr>
              <w:t>atestatis</w:t>
            </w:r>
            <w:proofErr w:type="spellEnd"/>
          </w:p>
          <w:p w:rsidR="008A502D" w:rsidRDefault="00052082">
            <w:pPr>
              <w:numPr>
                <w:ilvl w:val="0"/>
                <w:numId w:val="5"/>
              </w:numPr>
              <w:pBdr>
                <w:top w:val="nil"/>
                <w:left w:val="nil"/>
                <w:bottom w:val="nil"/>
                <w:right w:val="nil"/>
                <w:between w:val="nil"/>
              </w:pBdr>
              <w:spacing w:after="16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Successful passing of the entrance exams</w:t>
            </w:r>
            <w:r>
              <w:rPr>
                <w:rFonts w:ascii="Times New Roman" w:eastAsia="Times New Roman" w:hAnsi="Times New Roman" w:cs="Times New Roman"/>
              </w:rPr>
              <w:t xml:space="preserve"> (</w:t>
            </w:r>
            <w:r>
              <w:rPr>
                <w:rFonts w:ascii="Times New Roman" w:eastAsia="Times New Roman" w:hAnsi="Times New Roman" w:cs="Times New Roman"/>
                <w:color w:val="000000"/>
              </w:rPr>
              <w:t>specialty and music theory rounds) and the unified national examinations.</w:t>
            </w:r>
          </w:p>
          <w:p w:rsidR="008A502D" w:rsidRDefault="008A502D">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p>
        </w:tc>
      </w:tr>
      <w:tr w:rsidR="008A502D" w:rsidTr="008A502D">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A502D" w:rsidRDefault="00052082">
            <w:pPr>
              <w:spacing w:line="276" w:lineRule="auto"/>
              <w:rPr>
                <w:rFonts w:ascii="Merriweather" w:eastAsia="Merriweather" w:hAnsi="Merriweather" w:cs="Merriweather"/>
                <w:color w:val="000000"/>
              </w:rPr>
            </w:pPr>
            <w:proofErr w:type="spellStart"/>
            <w:r>
              <w:rPr>
                <w:rFonts w:ascii="Merriweather" w:eastAsia="Merriweather" w:hAnsi="Merriweather" w:cs="Merriweather"/>
                <w:color w:val="000000"/>
              </w:rPr>
              <w:t>Programme</w:t>
            </w:r>
            <w:proofErr w:type="spellEnd"/>
            <w:r>
              <w:rPr>
                <w:rFonts w:ascii="Merriweather" w:eastAsia="Merriweather" w:hAnsi="Merriweather" w:cs="Merriweather"/>
                <w:color w:val="000000"/>
              </w:rPr>
              <w:t xml:space="preserve"> Goal/Objectives </w:t>
            </w:r>
          </w:p>
        </w:tc>
        <w:tc>
          <w:tcPr>
            <w:tcW w:w="9769" w:type="dxa"/>
          </w:tcPr>
          <w:p w:rsidR="008A502D" w:rsidRDefault="0005208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purpose of the Composition undergraduate program is to educate a musician-composer who will be qualified to:</w:t>
            </w:r>
          </w:p>
          <w:p w:rsidR="008A502D" w:rsidRDefault="00052082">
            <w:pPr>
              <w:numPr>
                <w:ilvl w:val="0"/>
                <w:numId w:val="6"/>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understanding historical musical genres and </w:t>
            </w:r>
            <w:r>
              <w:rPr>
                <w:rFonts w:ascii="Times New Roman" w:eastAsia="Times New Roman" w:hAnsi="Times New Roman" w:cs="Times New Roman"/>
              </w:rPr>
              <w:t>using different</w:t>
            </w:r>
            <w:r>
              <w:rPr>
                <w:rFonts w:ascii="Times New Roman" w:eastAsia="Times New Roman" w:hAnsi="Times New Roman" w:cs="Times New Roman"/>
                <w:color w:val="000000"/>
              </w:rPr>
              <w:t xml:space="preserve"> composing theories</w:t>
            </w:r>
            <w:r>
              <w:rPr>
                <w:rFonts w:ascii="Times New Roman" w:eastAsia="Times New Roman" w:hAnsi="Times New Roman" w:cs="Times New Roman"/>
              </w:rPr>
              <w:t xml:space="preserve">/techniques </w:t>
            </w:r>
            <w:r>
              <w:rPr>
                <w:rFonts w:ascii="Times New Roman" w:eastAsia="Times New Roman" w:hAnsi="Times New Roman" w:cs="Times New Roman"/>
                <w:color w:val="000000"/>
              </w:rPr>
              <w:t>and methods from many genres and eras.</w:t>
            </w:r>
          </w:p>
          <w:p w:rsidR="008A502D" w:rsidRDefault="00052082">
            <w:pPr>
              <w:numPr>
                <w:ilvl w:val="0"/>
                <w:numId w:val="6"/>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rPr>
              <w:t>composing</w:t>
            </w:r>
            <w:r>
              <w:rPr>
                <w:rFonts w:ascii="Times New Roman" w:eastAsia="Times New Roman" w:hAnsi="Times New Roman" w:cs="Times New Roman"/>
                <w:color w:val="000000"/>
              </w:rPr>
              <w:t xml:space="preserve"> musi</w:t>
            </w:r>
            <w:r>
              <w:rPr>
                <w:rFonts w:ascii="Times New Roman" w:eastAsia="Times New Roman" w:hAnsi="Times New Roman" w:cs="Times New Roman"/>
                <w:color w:val="000000"/>
              </w:rPr>
              <w:t>c for solo (</w:t>
            </w:r>
            <w:r>
              <w:rPr>
                <w:rFonts w:ascii="Times New Roman" w:eastAsia="Times New Roman" w:hAnsi="Times New Roman" w:cs="Times New Roman"/>
              </w:rPr>
              <w:t>instrument/voice)</w:t>
            </w:r>
            <w:r>
              <w:rPr>
                <w:rFonts w:ascii="Times New Roman" w:eastAsia="Times New Roman" w:hAnsi="Times New Roman" w:cs="Times New Roman"/>
                <w:color w:val="000000"/>
              </w:rPr>
              <w:t>, orchestra, small and big ensemble</w:t>
            </w:r>
            <w:r>
              <w:rPr>
                <w:rFonts w:ascii="Times New Roman" w:eastAsia="Times New Roman" w:hAnsi="Times New Roman" w:cs="Times New Roman"/>
              </w:rPr>
              <w:t>s</w:t>
            </w:r>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theater, cinema, and music for video industries.</w:t>
            </w:r>
          </w:p>
          <w:p w:rsidR="008A502D" w:rsidRDefault="00052082">
            <w:pPr>
              <w:numPr>
                <w:ilvl w:val="0"/>
                <w:numId w:val="6"/>
              </w:numPr>
              <w:pBdr>
                <w:top w:val="nil"/>
                <w:left w:val="nil"/>
                <w:bottom w:val="nil"/>
                <w:right w:val="nil"/>
                <w:between w:val="nil"/>
              </w:pBdr>
              <w:spacing w:after="16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enga</w:t>
            </w:r>
            <w:r>
              <w:rPr>
                <w:rFonts w:ascii="Times New Roman" w:eastAsia="Times New Roman" w:hAnsi="Times New Roman" w:cs="Times New Roman"/>
              </w:rPr>
              <w:t>ging</w:t>
            </w:r>
            <w:r>
              <w:rPr>
                <w:rFonts w:ascii="Times New Roman" w:eastAsia="Times New Roman" w:hAnsi="Times New Roman" w:cs="Times New Roman"/>
                <w:color w:val="000000"/>
              </w:rPr>
              <w:t xml:space="preserve"> in educational and professional activities in the music-related sector.</w:t>
            </w:r>
          </w:p>
          <w:p w:rsidR="008A502D" w:rsidRDefault="00052082">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 Graduate of this program can find employment as a compose</w:t>
            </w:r>
            <w:r>
              <w:rPr>
                <w:rFonts w:ascii="Times New Roman" w:eastAsia="Times New Roman" w:hAnsi="Times New Roman" w:cs="Times New Roman"/>
              </w:rPr>
              <w:t>r in radio, television, film studios, and music and drama theaters. An individual with a bachelor's degree might begin working for organizations the main focus of which are art, culture, and education. The program offers additional music technology and tea</w:t>
            </w:r>
            <w:r>
              <w:rPr>
                <w:rFonts w:ascii="Times New Roman" w:eastAsia="Times New Roman" w:hAnsi="Times New Roman" w:cs="Times New Roman"/>
              </w:rPr>
              <w:t>ching training majors, broadening students' post-graduate and future employment possibilities as a teacher in the secondary/mid-level music and public secondary schools.</w:t>
            </w:r>
          </w:p>
          <w:p w:rsidR="008A502D" w:rsidRDefault="008A502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A502D" w:rsidTr="008A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A502D" w:rsidRDefault="00052082">
            <w:pPr>
              <w:spacing w:line="276" w:lineRule="auto"/>
              <w:rPr>
                <w:rFonts w:ascii="Merriweather" w:eastAsia="Merriweather" w:hAnsi="Merriweather" w:cs="Merriweather"/>
                <w:color w:val="000000"/>
              </w:rPr>
            </w:pPr>
            <w:r>
              <w:rPr>
                <w:rFonts w:ascii="Merriweather" w:eastAsia="Merriweather" w:hAnsi="Merriweather" w:cs="Merriweather"/>
                <w:color w:val="000000"/>
              </w:rPr>
              <w:lastRenderedPageBreak/>
              <w:t xml:space="preserve">Program Learning Outcomes </w:t>
            </w:r>
          </w:p>
        </w:tc>
        <w:tc>
          <w:tcPr>
            <w:tcW w:w="9769" w:type="dxa"/>
          </w:tcPr>
          <w:p w:rsidR="008A502D" w:rsidRDefault="0005208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Knowledge and understanding:</w:t>
            </w:r>
          </w:p>
          <w:p w:rsidR="008A502D" w:rsidRDefault="0005208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After the program completion, the undergraduate: </w:t>
            </w:r>
          </w:p>
          <w:p w:rsidR="008A502D" w:rsidRDefault="00052082">
            <w:pPr>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u w:val="single"/>
              </w:rPr>
              <w:t>identifies</w:t>
            </w:r>
            <w:r>
              <w:rPr>
                <w:rFonts w:ascii="Times New Roman" w:eastAsia="Times New Roman" w:hAnsi="Times New Roman" w:cs="Times New Roman"/>
              </w:rPr>
              <w:t xml:space="preserve">, </w:t>
            </w:r>
            <w:r>
              <w:rPr>
                <w:rFonts w:ascii="Times New Roman" w:eastAsia="Times New Roman" w:hAnsi="Times New Roman" w:cs="Times New Roman"/>
                <w:u w:val="single"/>
              </w:rPr>
              <w:t>explains</w:t>
            </w:r>
            <w:r>
              <w:rPr>
                <w:rFonts w:ascii="Times New Roman" w:eastAsia="Times New Roman" w:hAnsi="Times New Roman" w:cs="Times New Roman"/>
              </w:rPr>
              <w:t xml:space="preserve">, and </w:t>
            </w:r>
            <w:r>
              <w:rPr>
                <w:rFonts w:ascii="Times New Roman" w:eastAsia="Times New Roman" w:hAnsi="Times New Roman" w:cs="Times New Roman"/>
                <w:u w:val="single"/>
              </w:rPr>
              <w:t>defines</w:t>
            </w:r>
            <w:r>
              <w:rPr>
                <w:rFonts w:ascii="Times New Roman" w:eastAsia="Times New Roman" w:hAnsi="Times New Roman" w:cs="Times New Roman"/>
              </w:rPr>
              <w:t xml:space="preserve"> the fundamental compositional concepts and techniques/methods.</w:t>
            </w:r>
          </w:p>
          <w:p w:rsidR="008A502D" w:rsidRDefault="00052082">
            <w:pPr>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u w:val="single"/>
              </w:rPr>
              <w:t>possesses</w:t>
            </w:r>
            <w:r>
              <w:rPr>
                <w:rFonts w:ascii="Times New Roman" w:eastAsia="Times New Roman" w:hAnsi="Times New Roman" w:cs="Times New Roman"/>
              </w:rPr>
              <w:t xml:space="preserve"> techniques and methods of composing both simple and large scale musical works.</w:t>
            </w:r>
          </w:p>
          <w:p w:rsidR="008A502D" w:rsidRDefault="00052082">
            <w:pPr>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u w:val="single"/>
              </w:rPr>
              <w:t>outlines</w:t>
            </w:r>
            <w:r>
              <w:rPr>
                <w:rFonts w:ascii="Times New Roman" w:eastAsia="Times New Roman" w:hAnsi="Times New Roman" w:cs="Times New Roman"/>
              </w:rPr>
              <w:t xml:space="preserve"> and </w:t>
            </w:r>
            <w:r>
              <w:rPr>
                <w:rFonts w:ascii="Times New Roman" w:eastAsia="Times New Roman" w:hAnsi="Times New Roman" w:cs="Times New Roman"/>
                <w:u w:val="single"/>
              </w:rPr>
              <w:t>defines</w:t>
            </w:r>
            <w:r>
              <w:rPr>
                <w:rFonts w:ascii="Times New Roman" w:eastAsia="Times New Roman" w:hAnsi="Times New Roman" w:cs="Times New Roman"/>
              </w:rPr>
              <w:t xml:space="preserve"> the historical phases of music culture, thought, genres, and styles (from antiquity to the present day), including national folk music.</w:t>
            </w:r>
          </w:p>
          <w:p w:rsidR="008A502D" w:rsidRDefault="00052082">
            <w:pPr>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u w:val="single"/>
              </w:rPr>
              <w:t>shows</w:t>
            </w:r>
            <w:r>
              <w:rPr>
                <w:rFonts w:ascii="Times New Roman" w:eastAsia="Times New Roman" w:hAnsi="Times New Roman" w:cs="Times New Roman"/>
              </w:rPr>
              <w:t xml:space="preserve"> a deep understanding of solfeggio, harmony, polyphony, musicology, organology, and music history analysis.</w:t>
            </w:r>
          </w:p>
          <w:p w:rsidR="008A502D" w:rsidRDefault="00052082">
            <w:pPr>
              <w:numPr>
                <w:ilvl w:val="0"/>
                <w:numId w:val="7"/>
              </w:numPr>
              <w:spacing w:after="1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u w:val="single"/>
              </w:rPr>
              <w:t>compre</w:t>
            </w:r>
            <w:r>
              <w:rPr>
                <w:rFonts w:ascii="Times New Roman" w:eastAsia="Times New Roman" w:hAnsi="Times New Roman" w:cs="Times New Roman"/>
                <w:u w:val="single"/>
              </w:rPr>
              <w:t>hends</w:t>
            </w:r>
            <w:r>
              <w:rPr>
                <w:rFonts w:ascii="Times New Roman" w:eastAsia="Times New Roman" w:hAnsi="Times New Roman" w:cs="Times New Roman"/>
              </w:rPr>
              <w:t xml:space="preserve"> the link between musical art and other genres of art, as well as the field's overall structure.</w:t>
            </w:r>
          </w:p>
          <w:p w:rsidR="008A502D" w:rsidRDefault="008A50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p w:rsidR="008A502D" w:rsidRDefault="0005208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Skills:</w:t>
            </w:r>
          </w:p>
          <w:p w:rsidR="008A502D" w:rsidRDefault="00052082">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creates a music work.</w:t>
            </w:r>
          </w:p>
          <w:p w:rsidR="008A502D" w:rsidRDefault="00052082">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executes creative-practical work per the supervisor's predetermined recommendations.</w:t>
            </w:r>
          </w:p>
          <w:p w:rsidR="008A502D" w:rsidRDefault="00052082">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ghlight w:val="white"/>
              </w:rPr>
            </w:pPr>
            <w:r>
              <w:rPr>
                <w:rFonts w:ascii="Times New Roman" w:eastAsia="Times New Roman" w:hAnsi="Times New Roman" w:cs="Times New Roman"/>
                <w:highlight w:val="white"/>
              </w:rPr>
              <w:t>works at music score by using specific practical skills (performing unknown piece while sight reading on an instrument/sight singing, dictation)</w:t>
            </w:r>
          </w:p>
          <w:p w:rsidR="008A502D" w:rsidRDefault="00052082">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demonstrates piano playing skills.</w:t>
            </w:r>
          </w:p>
          <w:p w:rsidR="008A502D" w:rsidRDefault="00052082">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adapts a piece of music for a different instrument (or set of instruments).</w:t>
            </w:r>
          </w:p>
          <w:p w:rsidR="008A502D" w:rsidRDefault="00052082">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lastRenderedPageBreak/>
              <w:t>autonomously analyzes both new and existing data using compositional art standard procedures; and interprets them.</w:t>
            </w:r>
          </w:p>
          <w:p w:rsidR="008A502D" w:rsidRDefault="00052082">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assesses his own and other individual’s compositions/works.</w:t>
            </w:r>
          </w:p>
          <w:p w:rsidR="008A502D" w:rsidRDefault="00052082">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demonstrates communication, intellectual, and teamwork abilities in musical and a</w:t>
            </w:r>
            <w:r>
              <w:rPr>
                <w:rFonts w:ascii="Times New Roman" w:eastAsia="Times New Roman" w:hAnsi="Times New Roman" w:cs="Times New Roman"/>
              </w:rPr>
              <w:t>rtistic groups.</w:t>
            </w:r>
          </w:p>
          <w:p w:rsidR="008A502D" w:rsidRDefault="0005208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Responsibility and autonomy</w:t>
            </w:r>
          </w:p>
          <w:p w:rsidR="008A502D" w:rsidRDefault="00052082">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student is interested in advancing professional knowledge in a dynamic setting and recognizes the need for more learning.</w:t>
            </w:r>
          </w:p>
          <w:p w:rsidR="008A502D" w:rsidRDefault="00052082">
            <w:pPr>
              <w:numPr>
                <w:ilvl w:val="0"/>
                <w:numId w:val="9"/>
              </w:numPr>
              <w:spacing w:after="1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student respects copyright and adheres to academic integrity standards.</w:t>
            </w:r>
          </w:p>
        </w:tc>
      </w:tr>
      <w:tr w:rsidR="008A502D" w:rsidTr="008A502D">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A502D" w:rsidRDefault="00052082">
            <w:pPr>
              <w:spacing w:line="276" w:lineRule="auto"/>
              <w:rPr>
                <w:rFonts w:ascii="Merriweather" w:eastAsia="Merriweather" w:hAnsi="Merriweather" w:cs="Merriweather"/>
                <w:color w:val="000000"/>
              </w:rPr>
            </w:pPr>
            <w:r>
              <w:rPr>
                <w:rFonts w:ascii="Merriweather" w:eastAsia="Merriweather" w:hAnsi="Merriweather" w:cs="Merriweather"/>
                <w:color w:val="000000"/>
              </w:rPr>
              <w:lastRenderedPageBreak/>
              <w:t xml:space="preserve">Learning </w:t>
            </w:r>
            <w:r>
              <w:rPr>
                <w:rFonts w:ascii="Merriweather" w:eastAsia="Merriweather" w:hAnsi="Merriweather" w:cs="Merriweather"/>
                <w:color w:val="000000"/>
              </w:rPr>
              <w:t xml:space="preserve">and Teaching Methods </w:t>
            </w:r>
          </w:p>
        </w:tc>
        <w:tc>
          <w:tcPr>
            <w:tcW w:w="9769" w:type="dxa"/>
          </w:tcPr>
          <w:p w:rsidR="008A502D" w:rsidRDefault="0005208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development of each student's unique creative potential and talents while taking into consideration the nuances of the area of musical art composition is a requirement for program execution, as is the organic blending of theoretic</w:t>
            </w:r>
            <w:r>
              <w:rPr>
                <w:rFonts w:ascii="Times New Roman" w:eastAsia="Times New Roman" w:hAnsi="Times New Roman" w:cs="Times New Roman"/>
              </w:rPr>
              <w:t xml:space="preserve">al and creative/practical teaching techniques. To support student professional mastery, the program emphasizes the approach of individual study. The major module of the specialty's study of the training courses is based on the continuous learning approach </w:t>
            </w:r>
            <w:r>
              <w:rPr>
                <w:rFonts w:ascii="Times New Roman" w:eastAsia="Times New Roman" w:hAnsi="Times New Roman" w:cs="Times New Roman"/>
              </w:rPr>
              <w:t>and the progressive complication of performance and creative assignments.</w:t>
            </w:r>
          </w:p>
          <w:p w:rsidR="008A502D" w:rsidRDefault="0005208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following methods are used during the teaching process:</w:t>
            </w:r>
          </w:p>
          <w:p w:rsidR="008A502D" w:rsidRDefault="00052082">
            <w:pPr>
              <w:numPr>
                <w:ilvl w:val="0"/>
                <w:numId w:val="1"/>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Production of creative works</w:t>
            </w:r>
          </w:p>
          <w:p w:rsidR="008A502D" w:rsidRDefault="00052082">
            <w:pPr>
              <w:numPr>
                <w:ilvl w:val="0"/>
                <w:numId w:val="1"/>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Lectures and practical lessons/seminars</w:t>
            </w:r>
          </w:p>
          <w:p w:rsidR="008A502D" w:rsidRDefault="00052082">
            <w:pPr>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highlight w:val="white"/>
              </w:rPr>
              <w:t>Studio/rehearsal classes, particularly those that are focused at creative projects (open, studio, solo concerts, competitions, festivals).</w:t>
            </w:r>
          </w:p>
          <w:p w:rsidR="008A502D" w:rsidRDefault="00052082">
            <w:pPr>
              <w:numPr>
                <w:ilvl w:val="0"/>
                <w:numId w:val="1"/>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carrying out projects (concerts, festivals, movies, musical performances</w:t>
            </w:r>
            <w:r>
              <w:rPr>
                <w:rFonts w:ascii="Times New Roman" w:eastAsia="Times New Roman" w:hAnsi="Times New Roman" w:cs="Times New Roman"/>
              </w:rPr>
              <w:t xml:space="preserve"> etc.</w:t>
            </w:r>
            <w:r>
              <w:rPr>
                <w:rFonts w:ascii="Times New Roman" w:eastAsia="Times New Roman" w:hAnsi="Times New Roman" w:cs="Times New Roman"/>
                <w:color w:val="000000"/>
              </w:rPr>
              <w:t>).</w:t>
            </w:r>
          </w:p>
          <w:p w:rsidR="008A502D" w:rsidRDefault="00052082">
            <w:pPr>
              <w:numPr>
                <w:ilvl w:val="0"/>
                <w:numId w:val="1"/>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instructing in a professional setting</w:t>
            </w:r>
            <w:r>
              <w:rPr>
                <w:rFonts w:ascii="Times New Roman" w:eastAsia="Times New Roman" w:hAnsi="Times New Roman" w:cs="Times New Roman"/>
                <w:color w:val="000000"/>
              </w:rPr>
              <w:t xml:space="preserve"> (a concert hall or an electronic-computer studio).</w:t>
            </w:r>
          </w:p>
          <w:p w:rsidR="008A502D" w:rsidRDefault="00052082">
            <w:pPr>
              <w:numPr>
                <w:ilvl w:val="0"/>
                <w:numId w:val="1"/>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rPr>
              <w:t xml:space="preserve">Taking part </w:t>
            </w:r>
            <w:proofErr w:type="gramStart"/>
            <w:r>
              <w:rPr>
                <w:rFonts w:ascii="Times New Roman" w:eastAsia="Times New Roman" w:hAnsi="Times New Roman" w:cs="Times New Roman"/>
              </w:rPr>
              <w:t xml:space="preserve">in </w:t>
            </w:r>
            <w:r>
              <w:rPr>
                <w:rFonts w:ascii="Times New Roman" w:eastAsia="Times New Roman" w:hAnsi="Times New Roman" w:cs="Times New Roman"/>
                <w:color w:val="000000"/>
              </w:rPr>
              <w:t xml:space="preserve"> master</w:t>
            </w:r>
            <w:proofErr w:type="gramEnd"/>
            <w:r>
              <w:rPr>
                <w:rFonts w:ascii="Times New Roman" w:eastAsia="Times New Roman" w:hAnsi="Times New Roman" w:cs="Times New Roman"/>
                <w:color w:val="000000"/>
              </w:rPr>
              <w:t xml:space="preserve"> cl</w:t>
            </w:r>
            <w:r>
              <w:rPr>
                <w:rFonts w:ascii="Times New Roman" w:eastAsia="Times New Roman" w:hAnsi="Times New Roman" w:cs="Times New Roman"/>
              </w:rPr>
              <w:t>asses/</w:t>
            </w:r>
            <w:r>
              <w:rPr>
                <w:rFonts w:ascii="Times New Roman" w:eastAsia="Times New Roman" w:hAnsi="Times New Roman" w:cs="Times New Roman"/>
                <w:color w:val="000000"/>
              </w:rPr>
              <w:t>seminars conducted by eminent compo</w:t>
            </w:r>
            <w:r>
              <w:rPr>
                <w:rFonts w:ascii="Times New Roman" w:eastAsia="Times New Roman" w:hAnsi="Times New Roman" w:cs="Times New Roman"/>
              </w:rPr>
              <w:t>sers/musicians</w:t>
            </w:r>
            <w:r>
              <w:rPr>
                <w:rFonts w:ascii="Times New Roman" w:eastAsia="Times New Roman" w:hAnsi="Times New Roman" w:cs="Times New Roman"/>
                <w:color w:val="000000"/>
              </w:rPr>
              <w:t>.</w:t>
            </w:r>
          </w:p>
          <w:p w:rsidR="008A502D" w:rsidRDefault="00052082">
            <w:pPr>
              <w:numPr>
                <w:ilvl w:val="0"/>
                <w:numId w:val="1"/>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study of theoretical aspects of practical/creative tasks.</w:t>
            </w:r>
          </w:p>
          <w:p w:rsidR="008A502D" w:rsidRDefault="00052082">
            <w:pPr>
              <w:numPr>
                <w:ilvl w:val="0"/>
                <w:numId w:val="1"/>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rPr>
              <w:t>Working on a book.</w:t>
            </w:r>
          </w:p>
          <w:p w:rsidR="008A502D" w:rsidRDefault="00052082">
            <w:pPr>
              <w:numPr>
                <w:ilvl w:val="0"/>
                <w:numId w:val="1"/>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analysis of numerous types of artistic works/</w:t>
            </w:r>
            <w:r>
              <w:rPr>
                <w:rFonts w:ascii="Times New Roman" w:eastAsia="Times New Roman" w:hAnsi="Times New Roman" w:cs="Times New Roman"/>
                <w:color w:val="000000"/>
              </w:rPr>
              <w:t>accomplishments</w:t>
            </w:r>
          </w:p>
          <w:p w:rsidR="008A502D" w:rsidRDefault="00052082">
            <w:pPr>
              <w:numPr>
                <w:ilvl w:val="0"/>
                <w:numId w:val="1"/>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Holding discussions on professional matters</w:t>
            </w:r>
          </w:p>
          <w:p w:rsidR="008A502D" w:rsidRDefault="00052082">
            <w:pPr>
              <w:numPr>
                <w:ilvl w:val="0"/>
                <w:numId w:val="1"/>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Engagement in events such as concerts, festivals, and other artistic performances</w:t>
            </w:r>
          </w:p>
          <w:p w:rsidR="008A502D" w:rsidRDefault="00052082">
            <w:pPr>
              <w:numPr>
                <w:ilvl w:val="0"/>
                <w:numId w:val="1"/>
              </w:num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rPr>
              <w:t>independent work completed by students autonomously to form and hone their professional abilities.</w:t>
            </w:r>
          </w:p>
          <w:p w:rsidR="008A502D" w:rsidRDefault="008A50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A502D" w:rsidTr="008A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A502D" w:rsidRDefault="00052082">
            <w:pPr>
              <w:spacing w:line="276" w:lineRule="auto"/>
              <w:rPr>
                <w:rFonts w:ascii="Merriweather" w:eastAsia="Merriweather" w:hAnsi="Merriweather" w:cs="Merriweather"/>
                <w:color w:val="000000"/>
              </w:rPr>
            </w:pPr>
            <w:r>
              <w:rPr>
                <w:rFonts w:ascii="Merriweather" w:eastAsia="Merriweather" w:hAnsi="Merriweather" w:cs="Merriweather"/>
                <w:color w:val="000000"/>
              </w:rPr>
              <w:lastRenderedPageBreak/>
              <w:t xml:space="preserve">Assessment Methods </w:t>
            </w:r>
          </w:p>
        </w:tc>
        <w:tc>
          <w:tcPr>
            <w:tcW w:w="9769" w:type="dxa"/>
          </w:tcPr>
          <w:p w:rsidR="008A502D" w:rsidRDefault="0005208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final assessment (100 points), which is the sum of the midterm (one-time or repeated) and final assessments, is used to evaluate the student's academic performance in the study component of the undergraduate educational program. Eac</w:t>
            </w:r>
            <w:r>
              <w:rPr>
                <w:rFonts w:ascii="Times New Roman" w:eastAsia="Times New Roman" w:hAnsi="Times New Roman" w:cs="Times New Roman"/>
              </w:rPr>
              <w:t>h assessment form and component have a certain share of the final evaluation from the overall evaluation score (100 points), which is stipulated in the applicable syllabus and communicated to the student at the start of the academic semester.</w:t>
            </w:r>
          </w:p>
          <w:p w:rsidR="008A502D" w:rsidRDefault="0005208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student i</w:t>
            </w:r>
            <w:r>
              <w:rPr>
                <w:rFonts w:ascii="Times New Roman" w:eastAsia="Times New Roman" w:hAnsi="Times New Roman" w:cs="Times New Roman"/>
              </w:rPr>
              <w:t>s granted credit in the event of a positive assessment on the final exam.</w:t>
            </w:r>
          </w:p>
          <w:p w:rsidR="008A502D" w:rsidRDefault="0005208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The precise percentage of the required minimum competence for the midterm and final assessments is specified in a syllabus and announced to the student at the beginning of the study </w:t>
            </w:r>
            <w:r>
              <w:rPr>
                <w:rFonts w:ascii="Times New Roman" w:eastAsia="Times New Roman" w:hAnsi="Times New Roman" w:cs="Times New Roman"/>
              </w:rPr>
              <w:t>semester.</w:t>
            </w:r>
          </w:p>
          <w:p w:rsidR="008A502D" w:rsidRDefault="008A502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8A502D" w:rsidRDefault="0005208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stipulated by-law assessment system allows for five types of positive assessment:</w:t>
            </w:r>
          </w:p>
          <w:p w:rsidR="008A502D" w:rsidRDefault="00052082">
            <w:pPr>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 - excellent – 91-100 points</w:t>
            </w:r>
          </w:p>
          <w:p w:rsidR="008A502D" w:rsidRDefault="00052082">
            <w:pPr>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 - very good – 81-90 of the maximum assessment</w:t>
            </w:r>
          </w:p>
          <w:p w:rsidR="008A502D" w:rsidRDefault="00052082">
            <w:pPr>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 - good – 71-80 of the maximum assessment </w:t>
            </w:r>
          </w:p>
          <w:p w:rsidR="008A502D" w:rsidRDefault="00052082">
            <w:pPr>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D - satisfactory – 61-70 of the maxim</w:t>
            </w:r>
            <w:r>
              <w:rPr>
                <w:rFonts w:ascii="Times New Roman" w:eastAsia="Times New Roman" w:hAnsi="Times New Roman" w:cs="Times New Roman"/>
              </w:rPr>
              <w:t>um assessment</w:t>
            </w:r>
          </w:p>
          <w:p w:rsidR="008A502D" w:rsidRDefault="00052082">
            <w:pPr>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 - sufficient – 51-60 of the maximum assessment</w:t>
            </w:r>
          </w:p>
          <w:p w:rsidR="008A502D" w:rsidRDefault="00052082">
            <w:pPr>
              <w:spacing w:line="276" w:lineRule="auto"/>
              <w:ind w:left="11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assessment system allows two types of negative assessment:</w:t>
            </w:r>
          </w:p>
          <w:p w:rsidR="008A502D" w:rsidRDefault="00052082">
            <w:pPr>
              <w:widowControl w:val="0"/>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(FX) not able to pass- which indicates that the doctoral student needs to complete extra work to pass and is allowed to retake the test through independent study (41–50 points of the maximum assessment)</w:t>
            </w:r>
          </w:p>
          <w:p w:rsidR="008A502D" w:rsidRDefault="00052082">
            <w:pPr>
              <w:widowControl w:val="0"/>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 failed - 40 points and less out of the maximum as</w:t>
            </w:r>
            <w:r>
              <w:rPr>
                <w:rFonts w:ascii="Times New Roman" w:eastAsia="Times New Roman" w:hAnsi="Times New Roman" w:cs="Times New Roman"/>
              </w:rPr>
              <w:t>sessment, indicating the student's work is insufficient, and he must re-take the course.</w:t>
            </w:r>
          </w:p>
          <w:p w:rsidR="008A502D" w:rsidRDefault="008A502D">
            <w:pPr>
              <w:widowControl w:val="0"/>
              <w:spacing w:line="276" w:lineRule="auto"/>
              <w:ind w:left="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8A502D" w:rsidRDefault="0005208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If </w:t>
            </w:r>
            <w:proofErr w:type="gramStart"/>
            <w:r>
              <w:rPr>
                <w:rFonts w:ascii="Times New Roman" w:eastAsia="Times New Roman" w:hAnsi="Times New Roman" w:cs="Times New Roman"/>
                <w:color w:val="000000"/>
              </w:rPr>
              <w:t xml:space="preserve">a  </w:t>
            </w:r>
            <w:r>
              <w:rPr>
                <w:rFonts w:ascii="Times New Roman" w:eastAsia="Times New Roman" w:hAnsi="Times New Roman" w:cs="Times New Roman"/>
              </w:rPr>
              <w:t>bachelor</w:t>
            </w:r>
            <w:proofErr w:type="gramEnd"/>
            <w:r>
              <w:rPr>
                <w:rFonts w:ascii="Times New Roman" w:eastAsia="Times New Roman" w:hAnsi="Times New Roman" w:cs="Times New Roman"/>
              </w:rPr>
              <w:t xml:space="preserve"> s</w:t>
            </w:r>
            <w:r>
              <w:rPr>
                <w:rFonts w:ascii="Times New Roman" w:eastAsia="Times New Roman" w:hAnsi="Times New Roman" w:cs="Times New Roman"/>
                <w:color w:val="000000"/>
              </w:rPr>
              <w:t>tudent is evaluated by FX, the extra exam will be arranged for him/her at least 5 calendar days after the results of the initial final exam are released. The number of points obtained as a result of the final exam is not added to the number of points accum</w:t>
            </w:r>
            <w:r>
              <w:rPr>
                <w:rFonts w:ascii="Times New Roman" w:eastAsia="Times New Roman" w:hAnsi="Times New Roman" w:cs="Times New Roman"/>
                <w:color w:val="000000"/>
              </w:rPr>
              <w:t xml:space="preserve">ulated on the additional exam. The result of the additional exam is considered final and is reflected in the final evaluation of the educational program’s educational component. The student is given an F-0 grade if the final assessment for the educational </w:t>
            </w:r>
            <w:r>
              <w:rPr>
                <w:rFonts w:ascii="Times New Roman" w:eastAsia="Times New Roman" w:hAnsi="Times New Roman" w:cs="Times New Roman"/>
                <w:color w:val="000000"/>
              </w:rPr>
              <w:t>component is 0 to 50, taking into account his performance on the additional examination.</w:t>
            </w:r>
          </w:p>
          <w:p w:rsidR="008A502D" w:rsidRDefault="008A502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8A502D" w:rsidTr="008A502D">
        <w:trPr>
          <w:trHeight w:val="503"/>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A502D" w:rsidRDefault="00052082">
            <w:pPr>
              <w:spacing w:line="276" w:lineRule="auto"/>
              <w:rPr>
                <w:rFonts w:ascii="Merriweather" w:eastAsia="Merriweather" w:hAnsi="Merriweather" w:cs="Merriweather"/>
                <w:color w:val="000000"/>
              </w:rPr>
            </w:pPr>
            <w:r>
              <w:rPr>
                <w:rFonts w:ascii="Merriweather" w:eastAsia="Merriweather" w:hAnsi="Merriweather" w:cs="Merriweather"/>
                <w:color w:val="000000"/>
              </w:rPr>
              <w:lastRenderedPageBreak/>
              <w:t>Career Options</w:t>
            </w:r>
          </w:p>
        </w:tc>
        <w:tc>
          <w:tcPr>
            <w:tcW w:w="9769" w:type="dxa"/>
          </w:tcPr>
          <w:p w:rsidR="008A502D" w:rsidRDefault="00052082">
            <w:pPr>
              <w:spacing w:after="32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Composition bachelor's degree holders can find employment as music arrangers, composer's assistants, stage, film, theater, video game, television, and</w:t>
            </w:r>
            <w:r>
              <w:rPr>
                <w:rFonts w:ascii="Times New Roman" w:eastAsia="Times New Roman" w:hAnsi="Times New Roman" w:cs="Times New Roman"/>
              </w:rPr>
              <w:t xml:space="preserve"> radio composer, artistic </w:t>
            </w:r>
            <w:proofErr w:type="gramStart"/>
            <w:r>
              <w:rPr>
                <w:rFonts w:ascii="Times New Roman" w:eastAsia="Times New Roman" w:hAnsi="Times New Roman" w:cs="Times New Roman"/>
              </w:rPr>
              <w:t>director,  editor</w:t>
            </w:r>
            <w:proofErr w:type="gramEnd"/>
            <w:r>
              <w:rPr>
                <w:rFonts w:ascii="Times New Roman" w:eastAsia="Times New Roman" w:hAnsi="Times New Roman" w:cs="Times New Roman"/>
              </w:rPr>
              <w:t>, transcribers, and more. Additionally, they can be employed at governmental and non-governmental institutions operating in the field of culture. If the additional music teacher program is completed, the student m</w:t>
            </w:r>
            <w:r>
              <w:rPr>
                <w:rFonts w:ascii="Times New Roman" w:eastAsia="Times New Roman" w:hAnsi="Times New Roman" w:cs="Times New Roman"/>
              </w:rPr>
              <w:t>ay find employment as a music teacher in secondary music and general education fields. The graduate will be able to work in recording studios as part of the additional music technology program and pursue graduate-level studies in music technology both in G</w:t>
            </w:r>
            <w:r>
              <w:rPr>
                <w:rFonts w:ascii="Times New Roman" w:eastAsia="Times New Roman" w:hAnsi="Times New Roman" w:cs="Times New Roman"/>
              </w:rPr>
              <w:t>eorgia and abroad.</w:t>
            </w:r>
          </w:p>
        </w:tc>
      </w:tr>
      <w:tr w:rsidR="008A502D" w:rsidTr="008A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A502D" w:rsidRDefault="00052082">
            <w:pPr>
              <w:spacing w:line="276" w:lineRule="auto"/>
              <w:rPr>
                <w:rFonts w:ascii="Merriweather" w:eastAsia="Merriweather" w:hAnsi="Merriweather" w:cs="Merriweather"/>
                <w:color w:val="000000"/>
              </w:rPr>
            </w:pPr>
            <w:r>
              <w:rPr>
                <w:rFonts w:ascii="Merriweather" w:eastAsia="Merriweather" w:hAnsi="Merriweather" w:cs="Merriweather"/>
                <w:color w:val="000000"/>
              </w:rPr>
              <w:t xml:space="preserve">Tuition Fee </w:t>
            </w:r>
          </w:p>
        </w:tc>
        <w:tc>
          <w:tcPr>
            <w:tcW w:w="9769" w:type="dxa"/>
          </w:tcPr>
          <w:p w:rsidR="008A502D" w:rsidRDefault="0005208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2250 Georgian </w:t>
            </w:r>
            <w:proofErr w:type="spellStart"/>
            <w:r>
              <w:rPr>
                <w:rFonts w:ascii="Times New Roman" w:eastAsia="Times New Roman" w:hAnsi="Times New Roman" w:cs="Times New Roman"/>
              </w:rPr>
              <w:t>Lari</w:t>
            </w:r>
            <w:proofErr w:type="spellEnd"/>
          </w:p>
        </w:tc>
      </w:tr>
      <w:tr w:rsidR="008A502D" w:rsidTr="008A502D">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A502D" w:rsidRDefault="00052082">
            <w:pPr>
              <w:spacing w:line="276" w:lineRule="auto"/>
              <w:rPr>
                <w:rFonts w:ascii="Merriweather" w:eastAsia="Merriweather" w:hAnsi="Merriweather" w:cs="Merriweather"/>
                <w:color w:val="000000"/>
              </w:rPr>
            </w:pPr>
            <w:r>
              <w:rPr>
                <w:rFonts w:ascii="Merriweather" w:eastAsia="Merriweather" w:hAnsi="Merriweather" w:cs="Merriweather"/>
                <w:color w:val="000000"/>
              </w:rPr>
              <w:t xml:space="preserve">Human and Material resources </w:t>
            </w:r>
          </w:p>
        </w:tc>
        <w:tc>
          <w:tcPr>
            <w:tcW w:w="9769" w:type="dxa"/>
          </w:tcPr>
          <w:p w:rsidR="008A502D" w:rsidRDefault="0005208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conservatory has the necessary material-technical basis for applied and scientific work to carry out the bachelor program: well-equipped auditoriums; electronic studio, concert and opera venues, and opera studios.</w:t>
            </w:r>
          </w:p>
          <w:p w:rsidR="008A502D" w:rsidRDefault="00052082">
            <w:pPr>
              <w:spacing w:line="276"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Times New Roman" w:eastAsia="Times New Roman" w:hAnsi="Times New Roman" w:cs="Times New Roman"/>
              </w:rPr>
              <w:t>students have access to the audio-vide</w:t>
            </w:r>
            <w:r>
              <w:rPr>
                <w:rFonts w:ascii="Times New Roman" w:eastAsia="Times New Roman" w:hAnsi="Times New Roman" w:cs="Times New Roman"/>
              </w:rPr>
              <w:t>o library, books, music, and audio collections of the library music scores, electronic databases and libraries, computers connected to the Internet, leading worldwide electronic books, music sheets, and audio-visual databases.</w:t>
            </w:r>
          </w:p>
          <w:p w:rsidR="008A502D" w:rsidRDefault="00052082">
            <w:pPr>
              <w:spacing w:before="24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right human resources hav</w:t>
            </w:r>
            <w:r>
              <w:rPr>
                <w:rFonts w:ascii="Times New Roman" w:eastAsia="Times New Roman" w:hAnsi="Times New Roman" w:cs="Times New Roman"/>
              </w:rPr>
              <w:t>e been gathered for the educational program's execution. The educational program implementation involves academic staff from the conservatory (including professors, associate professors, assistant professors, and emeritus professors), as well as invited sp</w:t>
            </w:r>
            <w:r>
              <w:rPr>
                <w:rFonts w:ascii="Times New Roman" w:eastAsia="Times New Roman" w:hAnsi="Times New Roman" w:cs="Times New Roman"/>
              </w:rPr>
              <w:t>ecialists, who have the necessary competence, academic degree, and teaching and research experience.</w:t>
            </w:r>
          </w:p>
          <w:p w:rsidR="008A502D" w:rsidRDefault="008A50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8A502D" w:rsidTr="008A5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A502D" w:rsidRDefault="00052082">
            <w:pPr>
              <w:spacing w:line="276" w:lineRule="auto"/>
              <w:rPr>
                <w:rFonts w:ascii="Merriweather" w:eastAsia="Merriweather" w:hAnsi="Merriweather" w:cs="Merriweather"/>
                <w:color w:val="000000"/>
              </w:rPr>
            </w:pPr>
            <w:r>
              <w:rPr>
                <w:rFonts w:ascii="Merriweather" w:eastAsia="Merriweather" w:hAnsi="Merriweather" w:cs="Merriweather"/>
                <w:color w:val="000000"/>
              </w:rPr>
              <w:t xml:space="preserve">Budget </w:t>
            </w:r>
          </w:p>
        </w:tc>
        <w:tc>
          <w:tcPr>
            <w:tcW w:w="9769" w:type="dxa"/>
          </w:tcPr>
          <w:p w:rsidR="008A502D" w:rsidRDefault="0005208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Annex </w:t>
            </w:r>
          </w:p>
        </w:tc>
      </w:tr>
      <w:tr w:rsidR="008A502D" w:rsidTr="008A502D">
        <w:trPr>
          <w:trHeight w:val="389"/>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8A502D" w:rsidRDefault="00052082">
            <w:pPr>
              <w:spacing w:line="276" w:lineRule="auto"/>
              <w:rPr>
                <w:rFonts w:ascii="Merriweather" w:eastAsia="Merriweather" w:hAnsi="Merriweather" w:cs="Merriweather"/>
                <w:color w:val="000000"/>
              </w:rPr>
            </w:pPr>
            <w:r>
              <w:rPr>
                <w:rFonts w:ascii="Merriweather" w:eastAsia="Merriweather" w:hAnsi="Merriweather" w:cs="Merriweather"/>
                <w:color w:val="000000"/>
              </w:rPr>
              <w:lastRenderedPageBreak/>
              <w:t>Additional information (if any)</w:t>
            </w:r>
          </w:p>
          <w:p w:rsidR="008A502D" w:rsidRDefault="008A502D">
            <w:pPr>
              <w:spacing w:line="276" w:lineRule="auto"/>
              <w:rPr>
                <w:rFonts w:ascii="Merriweather" w:eastAsia="Merriweather" w:hAnsi="Merriweather" w:cs="Merriweather"/>
                <w:color w:val="000000"/>
              </w:rPr>
            </w:pPr>
          </w:p>
        </w:tc>
        <w:tc>
          <w:tcPr>
            <w:tcW w:w="9769" w:type="dxa"/>
          </w:tcPr>
          <w:p w:rsidR="008A502D" w:rsidRDefault="00052082">
            <w:pPr>
              <w:spacing w:line="276" w:lineRule="auto"/>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While enrolled in the composition bachelor's program The student </w:t>
            </w:r>
          </w:p>
          <w:p w:rsidR="008A502D" w:rsidRDefault="00052082">
            <w:pPr>
              <w:numPr>
                <w:ilvl w:val="0"/>
                <w:numId w:val="2"/>
              </w:numPr>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color w:val="000000"/>
              </w:rPr>
            </w:pPr>
            <w:r>
              <w:rPr>
                <w:rFonts w:ascii="Times New Roman" w:eastAsia="Times New Roman" w:hAnsi="Times New Roman" w:cs="Times New Roman"/>
                <w:color w:val="000000"/>
              </w:rPr>
              <w:t xml:space="preserve">has the choice to enroll in an additional music technology program (60 ECTS credits) in addition to the major subjects; upon successful completion, information on completion of the relevant program will be reflected in the qualification document. An extra </w:t>
            </w:r>
            <w:r>
              <w:rPr>
                <w:rFonts w:ascii="Times New Roman" w:eastAsia="Times New Roman" w:hAnsi="Times New Roman" w:cs="Times New Roman"/>
                <w:color w:val="000000"/>
              </w:rPr>
              <w:t>program boosts chances for work and ongoing education;</w:t>
            </w:r>
          </w:p>
          <w:p w:rsidR="008A502D" w:rsidRDefault="0005208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w:t>
            </w:r>
          </w:p>
          <w:p w:rsidR="008A502D" w:rsidRDefault="008A502D">
            <w:pPr>
              <w:spacing w:line="276" w:lineRule="auto"/>
              <w:cnfStyle w:val="000000000000" w:firstRow="0" w:lastRow="0" w:firstColumn="0" w:lastColumn="0" w:oddVBand="0" w:evenVBand="0" w:oddHBand="0" w:evenHBand="0" w:firstRowFirstColumn="0" w:firstRowLastColumn="0" w:lastRowFirstColumn="0" w:lastRowLastColumn="0"/>
            </w:pPr>
          </w:p>
          <w:p w:rsidR="008A502D" w:rsidRDefault="00052082">
            <w:pPr>
              <w:numPr>
                <w:ilvl w:val="0"/>
                <w:numId w:val="2"/>
              </w:numPr>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student has the choice of enrolling in a 60-ECTS credit music teacher program, which, upon successful completion, will provide the student the chance to find employment as a music teacher in a </w:t>
            </w:r>
            <w:r>
              <w:rPr>
                <w:rFonts w:ascii="Times New Roman" w:eastAsia="Times New Roman" w:hAnsi="Times New Roman" w:cs="Times New Roman"/>
                <w:color w:val="000000"/>
              </w:rPr>
              <w:t>general education setting.</w:t>
            </w:r>
          </w:p>
          <w:p w:rsidR="008A502D" w:rsidRDefault="0005208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It is recommended to select one of the programs mentioned above from the third year of study.</w:t>
            </w:r>
          </w:p>
          <w:p w:rsidR="008A502D" w:rsidRDefault="008A50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8A502D" w:rsidRDefault="0005208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w:t>
            </w:r>
          </w:p>
          <w:p w:rsidR="008A502D" w:rsidRDefault="00052082">
            <w:pPr>
              <w:numPr>
                <w:ilvl w:val="0"/>
                <w:numId w:val="2"/>
              </w:numPr>
              <w:pBdr>
                <w:top w:val="nil"/>
                <w:left w:val="nil"/>
                <w:bottom w:val="nil"/>
                <w:right w:val="nil"/>
                <w:between w:val="nil"/>
              </w:pBdr>
              <w:spacing w:after="16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60 ECTS optional and so-called "Free Credits," allow the student to select any subject taught at the undergraduate level by conservatory faculties as well as any discipline taught in the conservatory at the undergraduate level.</w:t>
            </w:r>
          </w:p>
          <w:p w:rsidR="008A502D" w:rsidRDefault="000520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applicant for the educat</w:t>
            </w:r>
            <w:r>
              <w:rPr>
                <w:rFonts w:ascii="Times New Roman" w:eastAsia="Times New Roman" w:hAnsi="Times New Roman" w:cs="Times New Roman"/>
              </w:rPr>
              <w:t>ional program, and later the student, is required to understand the significance of the values outlined in the Conservatory's Code of Ethics and Academic Integrity Policy and to follow them carefully.</w:t>
            </w:r>
          </w:p>
          <w:p w:rsidR="008A502D" w:rsidRDefault="008A502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8A502D" w:rsidRDefault="000520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conservatory by using its own institutional resour</w:t>
            </w:r>
            <w:r>
              <w:rPr>
                <w:rFonts w:ascii="Times New Roman" w:eastAsia="Times New Roman" w:hAnsi="Times New Roman" w:cs="Times New Roman"/>
              </w:rPr>
              <w:t xml:space="preserve">ces supports composition major students in offering live premiere of their newly composed pieces and its audio/video recording. </w:t>
            </w:r>
          </w:p>
          <w:p w:rsidR="008A502D" w:rsidRDefault="008A50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rsidR="008A502D" w:rsidRDefault="008A502D">
      <w:pPr>
        <w:spacing w:line="276" w:lineRule="auto"/>
        <w:rPr>
          <w:rFonts w:ascii="Merriweather" w:eastAsia="Merriweather" w:hAnsi="Merriweather" w:cs="Merriweather"/>
          <w:b/>
        </w:rPr>
      </w:pPr>
    </w:p>
    <w:sectPr w:rsidR="008A502D">
      <w:headerReference w:type="default" r:id="rId9"/>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82" w:rsidRDefault="00052082">
      <w:pPr>
        <w:spacing w:after="0" w:line="240" w:lineRule="auto"/>
      </w:pPr>
      <w:r>
        <w:separator/>
      </w:r>
    </w:p>
  </w:endnote>
  <w:endnote w:type="continuationSeparator" w:id="0">
    <w:p w:rsidR="00052082" w:rsidRDefault="0005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82" w:rsidRDefault="00052082">
      <w:pPr>
        <w:spacing w:after="0" w:line="240" w:lineRule="auto"/>
      </w:pPr>
      <w:r>
        <w:separator/>
      </w:r>
    </w:p>
  </w:footnote>
  <w:footnote w:type="continuationSeparator" w:id="0">
    <w:p w:rsidR="00052082" w:rsidRDefault="00052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2D" w:rsidRDefault="008A502D">
    <w:pPr>
      <w:tabs>
        <w:tab w:val="center" w:pos="4844"/>
        <w:tab w:val="right" w:pos="9689"/>
      </w:tabs>
      <w:spacing w:line="276" w:lineRule="auto"/>
      <w:rPr>
        <w:rFonts w:ascii="Merriweather" w:eastAsia="Merriweather" w:hAnsi="Merriweather" w:cs="Merriweather"/>
        <w:b/>
      </w:rPr>
    </w:pPr>
  </w:p>
  <w:p w:rsidR="008A502D" w:rsidRDefault="00052082">
    <w:pPr>
      <w:pBdr>
        <w:top w:val="nil"/>
        <w:left w:val="nil"/>
        <w:bottom w:val="nil"/>
        <w:right w:val="nil"/>
        <w:between w:val="nil"/>
      </w:pBdr>
      <w:tabs>
        <w:tab w:val="center" w:pos="4844"/>
        <w:tab w:val="right" w:pos="9689"/>
      </w:tabs>
      <w:spacing w:after="0" w:line="240" w:lineRule="auto"/>
      <w:jc w:val="center"/>
      <w:rPr>
        <w:rFonts w:ascii="Merriweather" w:eastAsia="Merriweather" w:hAnsi="Merriweather" w:cs="Merriweather"/>
        <w:b/>
      </w:rPr>
    </w:pPr>
    <w:r>
      <w:rPr>
        <w:rFonts w:ascii="Merriweather" w:eastAsia="Merriweather" w:hAnsi="Merriweather" w:cs="Merriweather"/>
        <w:b/>
        <w:color w:val="000000"/>
        <w:sz w:val="20"/>
        <w:szCs w:val="20"/>
      </w:rPr>
      <w:t xml:space="preserve">LEPL – </w:t>
    </w:r>
    <w:proofErr w:type="spellStart"/>
    <w:r>
      <w:rPr>
        <w:rFonts w:ascii="Merriweather" w:eastAsia="Merriweather" w:hAnsi="Merriweather" w:cs="Merriweather"/>
        <w:b/>
        <w:color w:val="000000"/>
        <w:sz w:val="20"/>
        <w:szCs w:val="20"/>
      </w:rPr>
      <w:t>Vano</w:t>
    </w:r>
    <w:proofErr w:type="spellEnd"/>
    <w:r>
      <w:rPr>
        <w:rFonts w:ascii="Merriweather" w:eastAsia="Merriweather" w:hAnsi="Merriweather" w:cs="Merriweather"/>
        <w:b/>
        <w:color w:val="000000"/>
        <w:sz w:val="20"/>
        <w:szCs w:val="20"/>
      </w:rPr>
      <w:t xml:space="preserve"> </w:t>
    </w:r>
    <w:proofErr w:type="spellStart"/>
    <w:r>
      <w:rPr>
        <w:rFonts w:ascii="Merriweather" w:eastAsia="Merriweather" w:hAnsi="Merriweather" w:cs="Merriweather"/>
        <w:b/>
        <w:color w:val="000000"/>
        <w:sz w:val="20"/>
        <w:szCs w:val="20"/>
      </w:rPr>
      <w:t>Sarajishvili</w:t>
    </w:r>
    <w:proofErr w:type="spellEnd"/>
    <w:r>
      <w:rPr>
        <w:rFonts w:ascii="Merriweather" w:eastAsia="Merriweather" w:hAnsi="Merriweather" w:cs="Merriweather"/>
        <w:b/>
        <w:color w:val="000000"/>
        <w:sz w:val="20"/>
        <w:szCs w:val="20"/>
      </w:rPr>
      <w:t xml:space="preserve"> Tbilisi State Conservatoire</w:t>
    </w:r>
  </w:p>
  <w:p w:rsidR="008A502D" w:rsidRDefault="008A502D">
    <w:pPr>
      <w:pBdr>
        <w:top w:val="nil"/>
        <w:left w:val="nil"/>
        <w:bottom w:val="nil"/>
        <w:right w:val="nil"/>
        <w:between w:val="nil"/>
      </w:pBdr>
      <w:tabs>
        <w:tab w:val="center" w:pos="4844"/>
        <w:tab w:val="right" w:pos="9689"/>
      </w:tabs>
      <w:spacing w:after="0" w:line="240" w:lineRule="auto"/>
      <w:jc w:val="center"/>
      <w:rPr>
        <w:rFonts w:ascii="Merriweather" w:eastAsia="Merriweather" w:hAnsi="Merriweather" w:cs="Merriweather"/>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14E"/>
    <w:multiLevelType w:val="multilevel"/>
    <w:tmpl w:val="9788D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1C27AC"/>
    <w:multiLevelType w:val="multilevel"/>
    <w:tmpl w:val="6ABC1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BC7649"/>
    <w:multiLevelType w:val="multilevel"/>
    <w:tmpl w:val="5A74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8829F1"/>
    <w:multiLevelType w:val="multilevel"/>
    <w:tmpl w:val="8DB4A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745248"/>
    <w:multiLevelType w:val="multilevel"/>
    <w:tmpl w:val="C8F61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7914A1"/>
    <w:multiLevelType w:val="multilevel"/>
    <w:tmpl w:val="100AB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3F456F"/>
    <w:multiLevelType w:val="multilevel"/>
    <w:tmpl w:val="FE64F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6D5D2A"/>
    <w:multiLevelType w:val="multilevel"/>
    <w:tmpl w:val="B156B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CC2DB0"/>
    <w:multiLevelType w:val="multilevel"/>
    <w:tmpl w:val="DC229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2D"/>
    <w:rsid w:val="00052082"/>
    <w:rsid w:val="00726028"/>
    <w:rsid w:val="008A5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96B5"/>
  <w15:docId w15:val="{B991CF02-BCA6-40A6-A4C2-4D5F4EFE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467D15"/>
    <w:pPr>
      <w:ind w:left="720"/>
      <w:contextualSpacing/>
    </w:pPr>
  </w:style>
  <w:style w:type="table" w:styleId="TableGrid">
    <w:name w:val="Table Grid"/>
    <w:basedOn w:val="TableNormal"/>
    <w:uiPriority w:val="59"/>
    <w:rsid w:val="0046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7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D15"/>
    <w:rPr>
      <w:sz w:val="20"/>
      <w:szCs w:val="20"/>
    </w:rPr>
  </w:style>
  <w:style w:type="character" w:styleId="FootnoteReference">
    <w:name w:val="footnote reference"/>
    <w:basedOn w:val="DefaultParagraphFont"/>
    <w:uiPriority w:val="99"/>
    <w:semiHidden/>
    <w:unhideWhenUsed/>
    <w:rsid w:val="00467D15"/>
    <w:rPr>
      <w:vertAlign w:val="superscript"/>
    </w:rPr>
  </w:style>
  <w:style w:type="table" w:customStyle="1" w:styleId="21">
    <w:name w:val="Таблица простая 21"/>
    <w:basedOn w:val="TableNormal"/>
    <w:uiPriority w:val="42"/>
    <w:rsid w:val="00467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068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3A1C"/>
    <w:rPr>
      <w:sz w:val="16"/>
      <w:szCs w:val="16"/>
    </w:rPr>
  </w:style>
  <w:style w:type="paragraph" w:styleId="CommentText">
    <w:name w:val="annotation text"/>
    <w:basedOn w:val="Normal"/>
    <w:link w:val="CommentTextChar"/>
    <w:uiPriority w:val="99"/>
    <w:semiHidden/>
    <w:unhideWhenUsed/>
    <w:rsid w:val="005D3A1C"/>
    <w:pPr>
      <w:spacing w:line="240" w:lineRule="auto"/>
    </w:pPr>
    <w:rPr>
      <w:sz w:val="20"/>
      <w:szCs w:val="20"/>
    </w:rPr>
  </w:style>
  <w:style w:type="character" w:customStyle="1" w:styleId="CommentTextChar">
    <w:name w:val="Comment Text Char"/>
    <w:basedOn w:val="DefaultParagraphFont"/>
    <w:link w:val="CommentText"/>
    <w:uiPriority w:val="99"/>
    <w:semiHidden/>
    <w:rsid w:val="005D3A1C"/>
    <w:rPr>
      <w:sz w:val="20"/>
      <w:szCs w:val="20"/>
    </w:rPr>
  </w:style>
  <w:style w:type="paragraph" w:styleId="CommentSubject">
    <w:name w:val="annotation subject"/>
    <w:basedOn w:val="CommentText"/>
    <w:next w:val="CommentText"/>
    <w:link w:val="CommentSubjectChar"/>
    <w:uiPriority w:val="99"/>
    <w:semiHidden/>
    <w:unhideWhenUsed/>
    <w:rsid w:val="005D3A1C"/>
    <w:rPr>
      <w:b/>
      <w:bCs/>
    </w:rPr>
  </w:style>
  <w:style w:type="character" w:customStyle="1" w:styleId="CommentSubjectChar">
    <w:name w:val="Comment Subject Char"/>
    <w:basedOn w:val="CommentTextChar"/>
    <w:link w:val="CommentSubject"/>
    <w:uiPriority w:val="99"/>
    <w:semiHidden/>
    <w:rsid w:val="005D3A1C"/>
    <w:rPr>
      <w:b/>
      <w:bCs/>
      <w:sz w:val="20"/>
      <w:szCs w:val="20"/>
    </w:rPr>
  </w:style>
  <w:style w:type="paragraph" w:styleId="BalloonText">
    <w:name w:val="Balloon Text"/>
    <w:basedOn w:val="Normal"/>
    <w:link w:val="BalloonTextChar"/>
    <w:uiPriority w:val="99"/>
    <w:semiHidden/>
    <w:unhideWhenUsed/>
    <w:rsid w:val="005D3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1C"/>
    <w:rPr>
      <w:rFonts w:ascii="Segoe UI" w:hAnsi="Segoe UI" w:cs="Segoe UI"/>
      <w:sz w:val="18"/>
      <w:szCs w:val="18"/>
    </w:rPr>
  </w:style>
  <w:style w:type="character" w:customStyle="1" w:styleId="ListParagraphChar">
    <w:name w:val="List Paragraph Char"/>
    <w:link w:val="ListParagraph"/>
    <w:uiPriority w:val="34"/>
    <w:locked/>
    <w:rsid w:val="00051D9B"/>
  </w:style>
  <w:style w:type="paragraph" w:styleId="Header">
    <w:name w:val="header"/>
    <w:basedOn w:val="Normal"/>
    <w:link w:val="HeaderChar"/>
    <w:uiPriority w:val="99"/>
    <w:rsid w:val="00AB6ACE"/>
    <w:pPr>
      <w:tabs>
        <w:tab w:val="center" w:pos="4844"/>
        <w:tab w:val="right" w:pos="9689"/>
      </w:tabs>
      <w:spacing w:after="0" w:line="240" w:lineRule="auto"/>
      <w:jc w:val="both"/>
    </w:pPr>
    <w:rPr>
      <w:rFonts w:ascii="Times New Roman" w:eastAsia="MS Mincho" w:hAnsi="Times New Roman" w:cs="Times New Roman"/>
      <w:lang w:eastAsia="ja-JP"/>
    </w:rPr>
  </w:style>
  <w:style w:type="character" w:customStyle="1" w:styleId="HeaderChar">
    <w:name w:val="Header Char"/>
    <w:basedOn w:val="DefaultParagraphFont"/>
    <w:link w:val="Header"/>
    <w:uiPriority w:val="99"/>
    <w:rsid w:val="00AB6ACE"/>
    <w:rPr>
      <w:rFonts w:ascii="Times New Roman" w:eastAsia="MS Mincho" w:hAnsi="Times New Roman" w:cs="Times New Roman"/>
      <w:lang w:eastAsia="ja-JP"/>
    </w:rPr>
  </w:style>
  <w:style w:type="paragraph" w:customStyle="1" w:styleId="ckhrilixml">
    <w:name w:val="ckhrili_xml"/>
    <w:basedOn w:val="Normal"/>
    <w:autoRedefine/>
    <w:uiPriority w:val="99"/>
    <w:rsid w:val="00AB6ACE"/>
    <w:pPr>
      <w:framePr w:hSpace="180" w:wrap="auto" w:vAnchor="text" w:hAnchor="text" w:y="1"/>
      <w:spacing w:after="0" w:line="240" w:lineRule="auto"/>
      <w:suppressOverlap/>
    </w:pPr>
    <w:rPr>
      <w:rFonts w:ascii="Sylfaen" w:eastAsia="Times New Roman" w:hAnsi="Sylfaen" w:cs="Sylfaen"/>
      <w:lang w:val="ka-GE"/>
    </w:rPr>
  </w:style>
  <w:style w:type="character" w:styleId="Hyperlink">
    <w:name w:val="Hyperlink"/>
    <w:basedOn w:val="DefaultParagraphFont"/>
    <w:uiPriority w:val="99"/>
    <w:unhideWhenUsed/>
    <w:rsid w:val="004F079D"/>
    <w:rPr>
      <w:color w:val="0563C1" w:themeColor="hyperlink"/>
      <w:u w:val="single"/>
    </w:rPr>
  </w:style>
  <w:style w:type="table" w:customStyle="1" w:styleId="TableGrid0">
    <w:name w:val="TableGrid"/>
    <w:rsid w:val="001B7D6E"/>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337A32"/>
    <w:rPr>
      <w:color w:val="605E5C"/>
      <w:shd w:val="clear" w:color="auto" w:fill="E1DFDD"/>
    </w:rPr>
  </w:style>
  <w:style w:type="paragraph" w:styleId="Footer">
    <w:name w:val="footer"/>
    <w:basedOn w:val="Normal"/>
    <w:link w:val="FooterChar"/>
    <w:uiPriority w:val="99"/>
    <w:unhideWhenUsed/>
    <w:rsid w:val="0016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KhZUB1qldsY3aujLy7lZugh1nA==">CgMxLjAyCGguZ2pkZ3hzMgloLjMwajB6bGw4AHIhMXExeGVDUHE1SzB3MzJNWGp4TzdPS0ZWTFlMWXBIdnB2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8305</Characters>
  <Application>Microsoft Office Word</Application>
  <DocSecurity>0</DocSecurity>
  <Lines>69</Lines>
  <Paragraphs>19</Paragraphs>
  <ScaleCrop>false</ScaleCrop>
  <Company>HP</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anny.zhorzholiani@gmail.com</dc:creator>
  <cp:lastModifiedBy>Mako Avaliani</cp:lastModifiedBy>
  <cp:revision>2</cp:revision>
  <dcterms:created xsi:type="dcterms:W3CDTF">2022-09-22T10:12:00Z</dcterms:created>
  <dcterms:modified xsi:type="dcterms:W3CDTF">2023-09-03T05:50:00Z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5b3a0d9fea6cca984641557ecb193b55d0d6f7ff1d3941623256b2199e31d2d1</vt:lpwstr>
  </property>
</Properties>
</file>