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9B39" w14:textId="77777777" w:rsidR="00675CD7" w:rsidRDefault="00000000">
      <w:pPr>
        <w:jc w:val="center"/>
        <w:rPr>
          <w:rFonts w:ascii="Sylfaen" w:hAnsi="Sylfaen"/>
          <w:lang w:val="ka-GE"/>
        </w:rPr>
      </w:pPr>
      <w:r>
        <w:rPr>
          <w:rFonts w:ascii="Sylfaen" w:hAnsi="Sylfaen"/>
          <w:b/>
          <w:noProof/>
          <w:sz w:val="20"/>
          <w:szCs w:val="20"/>
        </w:rPr>
        <w:drawing>
          <wp:inline distT="0" distB="0" distL="0" distR="0" wp14:anchorId="34A7D0CF" wp14:editId="2502642D">
            <wp:extent cx="530860" cy="528320"/>
            <wp:effectExtent l="0" t="0" r="2540" b="508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0860" cy="528320"/>
                    </a:xfrm>
                    <a:prstGeom prst="rect">
                      <a:avLst/>
                    </a:prstGeom>
                    <a:noFill/>
                  </pic:spPr>
                </pic:pic>
              </a:graphicData>
            </a:graphic>
          </wp:inline>
        </w:drawing>
      </w:r>
    </w:p>
    <w:tbl>
      <w:tblPr>
        <w:tblStyle w:val="21"/>
        <w:tblW w:w="13030" w:type="dxa"/>
        <w:tblInd w:w="-567" w:type="dxa"/>
        <w:tblLayout w:type="fixed"/>
        <w:tblLook w:val="04A0" w:firstRow="1" w:lastRow="0" w:firstColumn="1" w:lastColumn="0" w:noHBand="0" w:noVBand="1"/>
      </w:tblPr>
      <w:tblGrid>
        <w:gridCol w:w="3261"/>
        <w:gridCol w:w="9769"/>
      </w:tblGrid>
      <w:tr w:rsidR="00675CD7" w14:paraId="2FAEA572" w14:textId="77777777" w:rsidTr="00675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65C8B68B" w14:textId="77777777" w:rsidR="00675CD7" w:rsidRDefault="00000000">
            <w:pPr>
              <w:autoSpaceDE w:val="0"/>
              <w:autoSpaceDN w:val="0"/>
              <w:adjustRightInd w:val="0"/>
              <w:spacing w:after="0" w:line="240" w:lineRule="auto"/>
              <w:rPr>
                <w:rFonts w:ascii="Sylfaen" w:hAnsi="Sylfaen" w:cs="Sylfaen,Bold"/>
                <w:b w:val="0"/>
                <w:bCs w:val="0"/>
                <w:color w:val="000000"/>
                <w:sz w:val="20"/>
                <w:szCs w:val="20"/>
              </w:rPr>
            </w:pPr>
            <w:r>
              <w:rPr>
                <w:rFonts w:ascii="Sylfaen" w:hAnsi="Sylfaen" w:cs="Sylfaen"/>
                <w:color w:val="000000"/>
                <w:sz w:val="20"/>
                <w:szCs w:val="20"/>
              </w:rPr>
              <w:t xml:space="preserve">Program Title </w:t>
            </w:r>
          </w:p>
          <w:p w14:paraId="600FCE5B" w14:textId="77777777" w:rsidR="00675CD7" w:rsidRDefault="00675CD7">
            <w:pPr>
              <w:autoSpaceDE w:val="0"/>
              <w:autoSpaceDN w:val="0"/>
              <w:adjustRightInd w:val="0"/>
              <w:spacing w:after="0" w:line="240" w:lineRule="auto"/>
              <w:rPr>
                <w:rFonts w:ascii="Sylfaen" w:hAnsi="Sylfaen" w:cs="Sylfaen,Bold"/>
                <w:b w:val="0"/>
                <w:bCs w:val="0"/>
                <w:color w:val="000000"/>
                <w:sz w:val="20"/>
                <w:szCs w:val="20"/>
                <w:lang w:val="ka-GE"/>
              </w:rPr>
            </w:pPr>
          </w:p>
        </w:tc>
        <w:tc>
          <w:tcPr>
            <w:tcW w:w="9769" w:type="dxa"/>
          </w:tcPr>
          <w:p w14:paraId="596C6D6C" w14:textId="77777777" w:rsidR="00675CD7" w:rsidRDefault="00000000">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bCs w:val="0"/>
              </w:rPr>
            </w:pPr>
            <w:r>
              <w:rPr>
                <w:rFonts w:ascii="Sylfaen" w:hAnsi="Sylfaen" w:cs="Sylfaen"/>
                <w:b w:val="0"/>
                <w:bCs w:val="0"/>
              </w:rPr>
              <w:t>Georgian Folk Music</w:t>
            </w:r>
          </w:p>
        </w:tc>
      </w:tr>
      <w:tr w:rsidR="00675CD7" w14:paraId="0F4220D1" w14:textId="77777777" w:rsidTr="00675CD7">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7F7F7F" w:themeColor="text1" w:themeTint="80"/>
              <w:bottom w:val="single" w:sz="4" w:space="0" w:color="7F7F7F" w:themeColor="text1" w:themeTint="80"/>
            </w:tcBorders>
            <w:shd w:val="clear" w:color="auto" w:fill="D0CECE" w:themeFill="background2" w:themeFillShade="E6"/>
          </w:tcPr>
          <w:p w14:paraId="5A0DDEC1" w14:textId="77777777" w:rsidR="00675CD7" w:rsidRDefault="00000000">
            <w:pPr>
              <w:autoSpaceDE w:val="0"/>
              <w:autoSpaceDN w:val="0"/>
              <w:adjustRightInd w:val="0"/>
              <w:spacing w:after="0" w:line="240" w:lineRule="auto"/>
              <w:rPr>
                <w:rFonts w:ascii="Sylfaen" w:hAnsi="Sylfaen" w:cs="Sylfaen,Bold"/>
                <w:color w:val="000000"/>
                <w:sz w:val="20"/>
                <w:szCs w:val="20"/>
                <w:lang w:val="ka-GE"/>
              </w:rPr>
            </w:pPr>
            <w:r>
              <w:rPr>
                <w:rFonts w:ascii="Sylfaen" w:hAnsi="Sylfaen" w:cs="Sylfaen"/>
                <w:color w:val="000000"/>
                <w:sz w:val="20"/>
                <w:szCs w:val="20"/>
              </w:rPr>
              <w:t xml:space="preserve">Qualification </w:t>
            </w:r>
          </w:p>
        </w:tc>
        <w:tc>
          <w:tcPr>
            <w:tcW w:w="9769" w:type="dxa"/>
            <w:tcBorders>
              <w:top w:val="single" w:sz="4" w:space="0" w:color="7F7F7F" w:themeColor="text1" w:themeTint="80"/>
              <w:bottom w:val="single" w:sz="4" w:space="0" w:color="7F7F7F" w:themeColor="text1" w:themeTint="80"/>
            </w:tcBorders>
          </w:tcPr>
          <w:p w14:paraId="612771DF" w14:textId="77777777" w:rsidR="00675CD7"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lang w:val="ka-GE"/>
              </w:rPr>
              <w:t xml:space="preserve">Master of </w:t>
            </w:r>
            <w:r>
              <w:rPr>
                <w:rFonts w:ascii="Sylfaen" w:hAnsi="Sylfaen" w:cs="Sylfaen"/>
              </w:rPr>
              <w:t>Music</w:t>
            </w:r>
            <w:r>
              <w:rPr>
                <w:rFonts w:ascii="Sylfaen" w:hAnsi="Sylfaen" w:cs="Sylfaen"/>
                <w:lang w:val="ka-GE"/>
              </w:rPr>
              <w:t xml:space="preserve"> (M</w:t>
            </w:r>
            <w:r>
              <w:rPr>
                <w:rFonts w:ascii="Sylfaen" w:hAnsi="Sylfaen" w:cs="Sylfaen"/>
              </w:rPr>
              <w:t>Mus</w:t>
            </w:r>
            <w:r>
              <w:rPr>
                <w:rFonts w:ascii="Sylfaen" w:hAnsi="Sylfaen" w:cs="Sylfaen"/>
                <w:lang w:val="ka-GE"/>
              </w:rPr>
              <w:t xml:space="preserve">) </w:t>
            </w:r>
            <w:r>
              <w:rPr>
                <w:rFonts w:ascii="Sylfaen" w:hAnsi="Sylfaen" w:cs="Sylfaen"/>
              </w:rPr>
              <w:t>in Traditional Music</w:t>
            </w:r>
          </w:p>
          <w:p w14:paraId="41485719" w14:textId="77777777" w:rsidR="00675CD7" w:rsidRDefault="00675CD7">
            <w:p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rPr>
            </w:pPr>
          </w:p>
        </w:tc>
      </w:tr>
      <w:tr w:rsidR="00675CD7" w14:paraId="6A08D30D" w14:textId="77777777" w:rsidTr="00675CD7">
        <w:trPr>
          <w:trHeight w:val="818"/>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76F1B762" w14:textId="77777777" w:rsidR="00675CD7" w:rsidRDefault="00000000">
            <w:pPr>
              <w:autoSpaceDE w:val="0"/>
              <w:autoSpaceDN w:val="0"/>
              <w:adjustRightInd w:val="0"/>
              <w:spacing w:after="0" w:line="240" w:lineRule="auto"/>
              <w:rPr>
                <w:rFonts w:ascii="Sylfaen" w:hAnsi="Sylfaen" w:cs="Sylfaen,Bold"/>
                <w:b w:val="0"/>
                <w:bCs w:val="0"/>
                <w:color w:val="000000"/>
                <w:sz w:val="20"/>
                <w:szCs w:val="20"/>
                <w:lang w:val="ka-GE"/>
              </w:rPr>
            </w:pPr>
            <w:r>
              <w:rPr>
                <w:rFonts w:ascii="Sylfaen" w:hAnsi="Sylfaen" w:cs="Sylfaen"/>
                <w:color w:val="000000"/>
                <w:sz w:val="20"/>
                <w:szCs w:val="20"/>
              </w:rPr>
              <w:t xml:space="preserve">ECTS Credits and Their Distribution </w:t>
            </w:r>
          </w:p>
        </w:tc>
        <w:tc>
          <w:tcPr>
            <w:tcW w:w="9769" w:type="dxa"/>
          </w:tcPr>
          <w:p w14:paraId="3215130E"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 xml:space="preserve">The </w:t>
            </w:r>
            <w:r>
              <w:rPr>
                <w:rFonts w:ascii="Sylfaen" w:hAnsi="Sylfaen" w:cs="Sylfaen"/>
                <w:lang w:val="ka-GE"/>
              </w:rPr>
              <w:t>120</w:t>
            </w:r>
            <w:r>
              <w:rPr>
                <w:rFonts w:ascii="Sylfaen" w:hAnsi="Sylfaen" w:cs="Sylfaen"/>
              </w:rPr>
              <w:t xml:space="preserve"> ECTS-credit master’s program is centered on the student and is based on the amount of academic workload needed for the student to accomplish the program's objectives.</w:t>
            </w:r>
          </w:p>
          <w:p w14:paraId="6D88BBA7"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The distribution of the credits is as follows:</w:t>
            </w:r>
          </w:p>
          <w:p w14:paraId="3193DF05"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rPr>
              <w:t>110</w:t>
            </w:r>
            <w:r>
              <w:rPr>
                <w:rFonts w:ascii="Sylfaen" w:hAnsi="Sylfaen" w:cs="Sylfaen"/>
                <w:lang w:val="ka-GE"/>
              </w:rPr>
              <w:t xml:space="preserve"> ECTS – </w:t>
            </w:r>
            <w:r>
              <w:rPr>
                <w:rFonts w:ascii="Sylfaen" w:hAnsi="Sylfaen" w:cs="Sylfaen"/>
              </w:rPr>
              <w:t xml:space="preserve">Specialty mandatory courses including ethnomusicological expeditions; </w:t>
            </w:r>
            <w:r>
              <w:rPr>
                <w:rFonts w:ascii="Sylfaen" w:hAnsi="Sylfaen" w:cs="Sylfaen"/>
                <w:lang w:val="ka-GE"/>
              </w:rPr>
              <w:t xml:space="preserve"> </w:t>
            </w:r>
          </w:p>
          <w:p w14:paraId="10DF8548"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 xml:space="preserve">10 ECTS - Elective courses. </w:t>
            </w:r>
          </w:p>
        </w:tc>
      </w:tr>
      <w:tr w:rsidR="00675CD7" w14:paraId="73E450B9" w14:textId="77777777" w:rsidTr="00675CD7">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7F7F7F" w:themeColor="text1" w:themeTint="80"/>
              <w:bottom w:val="single" w:sz="4" w:space="0" w:color="7F7F7F" w:themeColor="text1" w:themeTint="80"/>
            </w:tcBorders>
            <w:shd w:val="clear" w:color="auto" w:fill="D0CECE" w:themeFill="background2" w:themeFillShade="E6"/>
          </w:tcPr>
          <w:p w14:paraId="6F9586E4" w14:textId="77777777" w:rsidR="00675CD7" w:rsidRDefault="00000000">
            <w:pPr>
              <w:autoSpaceDE w:val="0"/>
              <w:autoSpaceDN w:val="0"/>
              <w:adjustRightInd w:val="0"/>
              <w:spacing w:after="0" w:line="240" w:lineRule="auto"/>
              <w:rPr>
                <w:rFonts w:ascii="Sylfaen" w:hAnsi="Sylfaen" w:cs="Sylfaen"/>
                <w:color w:val="000000"/>
                <w:sz w:val="20"/>
                <w:szCs w:val="20"/>
              </w:rPr>
            </w:pPr>
            <w:r>
              <w:rPr>
                <w:rFonts w:ascii="Sylfaen" w:hAnsi="Sylfaen" w:cs="Sylfaen"/>
                <w:color w:val="000000"/>
                <w:sz w:val="20"/>
                <w:szCs w:val="20"/>
              </w:rPr>
              <w:t>Language of Study</w:t>
            </w:r>
          </w:p>
        </w:tc>
        <w:tc>
          <w:tcPr>
            <w:tcW w:w="9769" w:type="dxa"/>
            <w:tcBorders>
              <w:top w:val="single" w:sz="4" w:space="0" w:color="7F7F7F" w:themeColor="text1" w:themeTint="80"/>
              <w:bottom w:val="single" w:sz="4" w:space="0" w:color="7F7F7F" w:themeColor="text1" w:themeTint="80"/>
            </w:tcBorders>
          </w:tcPr>
          <w:p w14:paraId="5664CB9E"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English</w:t>
            </w:r>
          </w:p>
        </w:tc>
      </w:tr>
      <w:tr w:rsidR="00675CD7" w14:paraId="7E8ADEEB" w14:textId="77777777" w:rsidTr="00675CD7">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18F9D1BB" w14:textId="77777777" w:rsidR="00675CD7" w:rsidRDefault="00000000">
            <w:pPr>
              <w:autoSpaceDE w:val="0"/>
              <w:autoSpaceDN w:val="0"/>
              <w:adjustRightInd w:val="0"/>
              <w:spacing w:after="0" w:line="240" w:lineRule="auto"/>
              <w:rPr>
                <w:rFonts w:ascii="Sylfaen" w:hAnsi="Sylfaen" w:cs="Sylfaen"/>
                <w:b w:val="0"/>
                <w:bCs w:val="0"/>
                <w:color w:val="000000"/>
                <w:sz w:val="20"/>
                <w:szCs w:val="20"/>
              </w:rPr>
            </w:pPr>
            <w:r>
              <w:rPr>
                <w:rFonts w:ascii="Sylfaen" w:hAnsi="Sylfaen" w:cs="Sylfaen"/>
                <w:color w:val="000000"/>
                <w:sz w:val="20"/>
                <w:szCs w:val="20"/>
              </w:rPr>
              <w:t>Program Lieder / Co-leader</w:t>
            </w:r>
          </w:p>
        </w:tc>
        <w:tc>
          <w:tcPr>
            <w:tcW w:w="9769" w:type="dxa"/>
          </w:tcPr>
          <w:p w14:paraId="42EFA49C"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t xml:space="preserve">Natalia Zumbadze, </w:t>
            </w:r>
            <w:r>
              <w:rPr>
                <w:rFonts w:ascii="Sylfaen" w:hAnsi="Sylfaen" w:cs="Sylfaen"/>
              </w:rPr>
              <w:t>P</w:t>
            </w:r>
            <w:r>
              <w:rPr>
                <w:rFonts w:ascii="Sylfaen" w:hAnsi="Sylfaen" w:cs="Sylfaen"/>
                <w:lang w:val="ka-GE"/>
              </w:rPr>
              <w:t>rofessor</w:t>
            </w:r>
          </w:p>
        </w:tc>
      </w:tr>
      <w:tr w:rsidR="00675CD7" w14:paraId="0656E513" w14:textId="77777777" w:rsidTr="00675CD7">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7F7F7F" w:themeColor="text1" w:themeTint="80"/>
              <w:bottom w:val="single" w:sz="4" w:space="0" w:color="7F7F7F" w:themeColor="text1" w:themeTint="80"/>
            </w:tcBorders>
            <w:shd w:val="clear" w:color="auto" w:fill="D0CECE" w:themeFill="background2" w:themeFillShade="E6"/>
          </w:tcPr>
          <w:p w14:paraId="3096CCF1" w14:textId="77777777" w:rsidR="00675CD7" w:rsidRDefault="00000000">
            <w:pPr>
              <w:autoSpaceDE w:val="0"/>
              <w:autoSpaceDN w:val="0"/>
              <w:adjustRightInd w:val="0"/>
              <w:spacing w:after="0" w:line="240" w:lineRule="auto"/>
              <w:rPr>
                <w:rFonts w:ascii="Sylfaen" w:hAnsi="Sylfaen" w:cs="Times New Roman"/>
                <w:b w:val="0"/>
                <w:bCs w:val="0"/>
                <w:color w:val="000000"/>
                <w:sz w:val="20"/>
                <w:szCs w:val="20"/>
              </w:rPr>
            </w:pPr>
            <w:r>
              <w:rPr>
                <w:rFonts w:ascii="Sylfaen" w:hAnsi="Sylfaen" w:cs="Times New Roman"/>
                <w:color w:val="000000"/>
                <w:sz w:val="20"/>
                <w:szCs w:val="20"/>
              </w:rPr>
              <w:t xml:space="preserve">Minimum Admission Requirements </w:t>
            </w:r>
          </w:p>
        </w:tc>
        <w:tc>
          <w:tcPr>
            <w:tcW w:w="9769" w:type="dxa"/>
            <w:tcBorders>
              <w:top w:val="single" w:sz="4" w:space="0" w:color="7F7F7F" w:themeColor="text1" w:themeTint="80"/>
              <w:bottom w:val="single" w:sz="4" w:space="0" w:color="7F7F7F" w:themeColor="text1" w:themeTint="80"/>
            </w:tcBorders>
          </w:tcPr>
          <w:p w14:paraId="2440FEDD" w14:textId="77777777" w:rsidR="00675CD7" w:rsidRDefault="000000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rPr>
            </w:pPr>
            <w:r>
              <w:rPr>
                <w:rFonts w:ascii="Sylfaen" w:eastAsia="Times New Roman" w:hAnsi="Sylfaen" w:cs="Times New Roman"/>
                <w:lang w:val="ka-GE"/>
              </w:rPr>
              <w:t>The prerequisites</w:t>
            </w:r>
            <w:r>
              <w:rPr>
                <w:rFonts w:ascii="Sylfaen" w:eastAsia="Times New Roman" w:hAnsi="Sylfaen" w:cs="Times New Roman"/>
              </w:rPr>
              <w:t xml:space="preserve"> for admission to the program are:</w:t>
            </w:r>
          </w:p>
          <w:p w14:paraId="6C7E186F" w14:textId="77777777" w:rsidR="00675CD7" w:rsidRDefault="00000000">
            <w:pPr>
              <w:pStyle w:val="ListParagraph"/>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rPr>
            </w:pPr>
            <w:r>
              <w:rPr>
                <w:rFonts w:ascii="Sylfaen" w:eastAsia="Times New Roman" w:hAnsi="Sylfaen" w:cs="Times New Roman"/>
              </w:rPr>
              <w:t>Bachelor's degree in Music fields;</w:t>
            </w:r>
          </w:p>
          <w:p w14:paraId="3C7C4459" w14:textId="77777777" w:rsidR="00675CD7" w:rsidRDefault="00000000">
            <w:pPr>
              <w:pStyle w:val="ListParagraph"/>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rPr>
            </w:pPr>
            <w:r>
              <w:rPr>
                <w:rFonts w:ascii="Sylfaen" w:eastAsia="Times New Roman" w:hAnsi="Sylfaen" w:cs="Times New Roman"/>
              </w:rPr>
              <w:t>The passing of creative rounds;</w:t>
            </w:r>
          </w:p>
        </w:tc>
      </w:tr>
      <w:tr w:rsidR="00675CD7" w14:paraId="1FF9D2E5" w14:textId="77777777" w:rsidTr="00675CD7">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4E9EBC1B" w14:textId="054420E8" w:rsidR="00675CD7" w:rsidRDefault="00000000">
            <w:pPr>
              <w:autoSpaceDE w:val="0"/>
              <w:autoSpaceDN w:val="0"/>
              <w:adjustRightInd w:val="0"/>
              <w:spacing w:after="0" w:line="240" w:lineRule="auto"/>
              <w:rPr>
                <w:rFonts w:ascii="Sylfaen" w:hAnsi="Sylfaen" w:cs="Sylfaen"/>
                <w:b w:val="0"/>
                <w:bCs w:val="0"/>
                <w:color w:val="000000"/>
                <w:sz w:val="20"/>
                <w:szCs w:val="20"/>
              </w:rPr>
            </w:pPr>
            <w:r>
              <w:rPr>
                <w:rFonts w:ascii="Sylfaen" w:hAnsi="Sylfaen" w:cs="Sylfaen"/>
                <w:color w:val="000000"/>
                <w:sz w:val="20"/>
                <w:szCs w:val="20"/>
              </w:rPr>
              <w:t xml:space="preserve">Program Goal/Objectives </w:t>
            </w:r>
          </w:p>
        </w:tc>
        <w:tc>
          <w:tcPr>
            <w:tcW w:w="9769" w:type="dxa"/>
          </w:tcPr>
          <w:p w14:paraId="3AA3261C" w14:textId="2515A18F"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Through the development of systematized, comprehensive knowledge and skills in the field of Georgian folk music, the master's program seeks to produce highly qualified, competitive, professional musician-performers with a master's academic degree who will be able to work in creative and cultural-educational organizations. After completion of the graduate program student can pursue doctoral studies.</w:t>
            </w:r>
          </w:p>
        </w:tc>
      </w:tr>
      <w:tr w:rsidR="00675CD7" w14:paraId="6906B49B" w14:textId="77777777" w:rsidTr="00675CD7">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7F7F7F" w:themeColor="text1" w:themeTint="80"/>
              <w:bottom w:val="single" w:sz="4" w:space="0" w:color="7F7F7F" w:themeColor="text1" w:themeTint="80"/>
            </w:tcBorders>
            <w:shd w:val="clear" w:color="auto" w:fill="D0CECE" w:themeFill="background2" w:themeFillShade="E6"/>
          </w:tcPr>
          <w:p w14:paraId="4E1C630C" w14:textId="77777777" w:rsidR="00675CD7" w:rsidRDefault="00000000">
            <w:pPr>
              <w:autoSpaceDE w:val="0"/>
              <w:autoSpaceDN w:val="0"/>
              <w:adjustRightInd w:val="0"/>
              <w:spacing w:after="0" w:line="240" w:lineRule="auto"/>
              <w:rPr>
                <w:rFonts w:ascii="Sylfaen" w:hAnsi="Sylfaen" w:cs="Sylfaen"/>
                <w:color w:val="000000"/>
                <w:sz w:val="20"/>
                <w:szCs w:val="20"/>
              </w:rPr>
            </w:pPr>
            <w:r>
              <w:rPr>
                <w:rFonts w:ascii="Sylfaen" w:hAnsi="Sylfaen" w:cs="Sylfaen"/>
                <w:color w:val="000000"/>
                <w:sz w:val="20"/>
                <w:szCs w:val="20"/>
              </w:rPr>
              <w:t xml:space="preserve">Program Learning Outcomes </w:t>
            </w:r>
          </w:p>
        </w:tc>
        <w:tc>
          <w:tcPr>
            <w:tcW w:w="9769" w:type="dxa"/>
            <w:tcBorders>
              <w:top w:val="single" w:sz="4" w:space="0" w:color="7F7F7F" w:themeColor="text1" w:themeTint="80"/>
              <w:bottom w:val="single" w:sz="4" w:space="0" w:color="7F7F7F" w:themeColor="text1" w:themeTint="80"/>
            </w:tcBorders>
          </w:tcPr>
          <w:p w14:paraId="3210A49E"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rPr>
              <w:t>Knowledge and Understanding:</w:t>
            </w:r>
            <w:r>
              <w:rPr>
                <w:rFonts w:ascii="Sylfaen" w:hAnsi="Sylfaen"/>
                <w:lang w:val="ka-GE"/>
              </w:rPr>
              <w:t xml:space="preserve"> </w:t>
            </w:r>
          </w:p>
          <w:p w14:paraId="43881265" w14:textId="3E891304"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After completion of the program student:</w:t>
            </w:r>
          </w:p>
          <w:p w14:paraId="56369417" w14:textId="77777777" w:rsidR="00675CD7" w:rsidRDefault="00000000">
            <w:pPr>
              <w:pStyle w:val="ListParagraph"/>
              <w:numPr>
                <w:ilvl w:val="0"/>
                <w:numId w:val="2"/>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Demonstrates the in-depth understanding and wide repertoire required for a proficient folk singer, instrumentalist, soloist and ensemble/choir member.</w:t>
            </w:r>
          </w:p>
          <w:p w14:paraId="06DC29AD" w14:textId="77777777" w:rsidR="00675CD7" w:rsidRDefault="00000000">
            <w:pPr>
              <w:pStyle w:val="ListParagraph"/>
              <w:numPr>
                <w:ilvl w:val="0"/>
                <w:numId w:val="2"/>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Outlines and specifies the musical folklore genres of Eastern and Western Georgian musical dialects, characteristic samples, and urban folk music.</w:t>
            </w:r>
          </w:p>
          <w:p w14:paraId="473773DD" w14:textId="2A01DF55" w:rsidR="00675CD7" w:rsidRDefault="00000000">
            <w:pPr>
              <w:pStyle w:val="ListParagraph"/>
              <w:numPr>
                <w:ilvl w:val="0"/>
                <w:numId w:val="3"/>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Theoretically possesses musical patterns of basic genres of Georgian musical dialects, performance forms, and singing styles.</w:t>
            </w:r>
            <w:r w:rsidR="00CB50BC">
              <w:rPr>
                <w:rFonts w:ascii="Sylfaen" w:hAnsi="Sylfaen"/>
              </w:rPr>
              <w:t xml:space="preserve"> </w:t>
            </w:r>
          </w:p>
          <w:p w14:paraId="3564D0F5" w14:textId="61325BAF" w:rsidR="00675CD7" w:rsidRDefault="00000000">
            <w:pPr>
              <w:pStyle w:val="ListParagraph"/>
              <w:numPr>
                <w:ilvl w:val="0"/>
                <w:numId w:val="3"/>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lastRenderedPageBreak/>
              <w:t xml:space="preserve">Is theoretically familiar with the key details of fieldwork, including the characteristics of pre-expedition work, working methods with </w:t>
            </w:r>
            <w:proofErr w:type="spellStart"/>
            <w:r w:rsidR="00490B83">
              <w:rPr>
                <w:rFonts w:ascii="Sylfaen" w:hAnsi="Sylfaen"/>
              </w:rPr>
              <w:t>E</w:t>
            </w:r>
            <w:r>
              <w:rPr>
                <w:rFonts w:ascii="Sylfaen" w:hAnsi="Sylfaen"/>
              </w:rPr>
              <w:t>thnofors</w:t>
            </w:r>
            <w:proofErr w:type="spellEnd"/>
            <w:r>
              <w:rPr>
                <w:rFonts w:ascii="Sylfaen" w:hAnsi="Sylfaen"/>
              </w:rPr>
              <w:t xml:space="preserve">, technical aspects of recording, and the peculiarities of recorded materials. </w:t>
            </w:r>
          </w:p>
          <w:p w14:paraId="77B12184"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b/>
                <w:bCs/>
              </w:rPr>
            </w:pPr>
            <w:r>
              <w:rPr>
                <w:rFonts w:ascii="Sylfaen" w:hAnsi="Sylfaen"/>
                <w:b/>
                <w:bCs/>
              </w:rPr>
              <w:t>Skills:</w:t>
            </w:r>
          </w:p>
          <w:p w14:paraId="615FAEFA" w14:textId="77777777" w:rsidR="00675CD7" w:rsidRDefault="00000000">
            <w:pPr>
              <w:pStyle w:val="ListParagraph"/>
              <w:numPr>
                <w:ilvl w:val="0"/>
                <w:numId w:val="4"/>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performs the men's and women's repertoire of Georgia's regions adhering local and common performance traditions.</w:t>
            </w:r>
          </w:p>
          <w:p w14:paraId="2EC8878F" w14:textId="22C3AD79" w:rsidR="00675CD7" w:rsidRDefault="00000000">
            <w:pPr>
              <w:pStyle w:val="ListParagraph"/>
              <w:numPr>
                <w:ilvl w:val="0"/>
                <w:numId w:val="4"/>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 xml:space="preserve">plays instrumental tunes of different regions of Georgian adhering local and common performance traditions of instrumental music (including </w:t>
            </w:r>
            <w:proofErr w:type="spellStart"/>
            <w:r>
              <w:rPr>
                <w:rFonts w:ascii="Sylfaen" w:hAnsi="Sylfaen"/>
              </w:rPr>
              <w:t>panduri</w:t>
            </w:r>
            <w:proofErr w:type="spellEnd"/>
            <w:r>
              <w:rPr>
                <w:rFonts w:ascii="Sylfaen" w:hAnsi="Sylfaen"/>
              </w:rPr>
              <w:t xml:space="preserve">, </w:t>
            </w:r>
            <w:proofErr w:type="spellStart"/>
            <w:r>
              <w:rPr>
                <w:rFonts w:ascii="Sylfaen" w:hAnsi="Sylfaen"/>
              </w:rPr>
              <w:t>chonguri</w:t>
            </w:r>
            <w:proofErr w:type="spellEnd"/>
            <w:r>
              <w:rPr>
                <w:rFonts w:ascii="Sylfaen" w:hAnsi="Sylfaen"/>
              </w:rPr>
              <w:t xml:space="preserve">, </w:t>
            </w:r>
            <w:proofErr w:type="spellStart"/>
            <w:r>
              <w:rPr>
                <w:rFonts w:ascii="Sylfaen" w:hAnsi="Sylfaen"/>
              </w:rPr>
              <w:t>salamuri</w:t>
            </w:r>
            <w:proofErr w:type="spellEnd"/>
            <w:r>
              <w:rPr>
                <w:rFonts w:ascii="Sylfaen" w:hAnsi="Sylfaen"/>
              </w:rPr>
              <w:t xml:space="preserve">, and </w:t>
            </w:r>
            <w:proofErr w:type="spellStart"/>
            <w:r>
              <w:rPr>
                <w:rFonts w:ascii="Sylfaen" w:hAnsi="Sylfaen"/>
              </w:rPr>
              <w:t>ch</w:t>
            </w:r>
            <w:r w:rsidR="00BF02E9">
              <w:rPr>
                <w:rFonts w:ascii="Sylfaen" w:hAnsi="Sylfaen"/>
              </w:rPr>
              <w:t>’</w:t>
            </w:r>
            <w:r>
              <w:rPr>
                <w:rFonts w:ascii="Sylfaen" w:hAnsi="Sylfaen"/>
              </w:rPr>
              <w:t>iboni</w:t>
            </w:r>
            <w:proofErr w:type="spellEnd"/>
            <w:r>
              <w:rPr>
                <w:rFonts w:ascii="Sylfaen" w:hAnsi="Sylfaen"/>
              </w:rPr>
              <w:t>).</w:t>
            </w:r>
          </w:p>
          <w:p w14:paraId="5E055183" w14:textId="77777777" w:rsidR="00675CD7" w:rsidRDefault="00000000">
            <w:pPr>
              <w:pStyle w:val="ListParagraph"/>
              <w:numPr>
                <w:ilvl w:val="0"/>
                <w:numId w:val="4"/>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assesses basic features of different groups of Georgian instruments and their key characteristics, comprehends instrument performance methods, and is familiar with notation issues.</w:t>
            </w:r>
          </w:p>
          <w:p w14:paraId="0D150342" w14:textId="77777777" w:rsidR="00675CD7" w:rsidRDefault="00000000">
            <w:pPr>
              <w:pStyle w:val="ListParagraph"/>
              <w:numPr>
                <w:ilvl w:val="0"/>
                <w:numId w:val="4"/>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practically possess the abilities necessary for fieldwork.</w:t>
            </w:r>
          </w:p>
          <w:p w14:paraId="7A2AA755" w14:textId="77777777" w:rsidR="00675CD7" w:rsidRDefault="00000000">
            <w:pPr>
              <w:pStyle w:val="ListParagraph"/>
              <w:numPr>
                <w:ilvl w:val="0"/>
                <w:numId w:val="4"/>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examines, formulates, and finds solutions to problems relating to the performance of folk music.</w:t>
            </w:r>
          </w:p>
          <w:p w14:paraId="51625619" w14:textId="77777777" w:rsidR="00675CD7" w:rsidRDefault="00000000">
            <w:pPr>
              <w:pStyle w:val="ListParagraph"/>
              <w:numPr>
                <w:ilvl w:val="0"/>
                <w:numId w:val="4"/>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while performing folk repertoire, exhibits a thorough understanding of the peculiarities of regional styles and musical expression techniques of diverse genres.</w:t>
            </w:r>
          </w:p>
          <w:p w14:paraId="448DDE6A" w14:textId="77777777" w:rsidR="00675CD7" w:rsidRDefault="00000000">
            <w:pPr>
              <w:pStyle w:val="ListParagraph"/>
              <w:numPr>
                <w:ilvl w:val="0"/>
                <w:numId w:val="4"/>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arranges a concert and other professional activities individually or with other performers.</w:t>
            </w:r>
          </w:p>
          <w:p w14:paraId="119A607A" w14:textId="77777777" w:rsidR="00675CD7" w:rsidRDefault="00000000">
            <w:pPr>
              <w:pStyle w:val="ListParagraph"/>
              <w:numPr>
                <w:ilvl w:val="0"/>
                <w:numId w:val="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analyzes concerns of performance in primary and stage singing folklore, on Georgian traditions of different regions and genres.</w:t>
            </w:r>
          </w:p>
          <w:p w14:paraId="6A73E53C" w14:textId="77777777" w:rsidR="00675CD7" w:rsidRDefault="00675CD7">
            <w:pPr>
              <w:pStyle w:val="ListParagraph"/>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Sylfaen" w:hAnsi="Sylfaen"/>
              </w:rPr>
            </w:pPr>
          </w:p>
          <w:p w14:paraId="7B2E227C"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b/>
                <w:bCs/>
              </w:rPr>
            </w:pPr>
            <w:r>
              <w:rPr>
                <w:rFonts w:ascii="Sylfaen" w:hAnsi="Sylfaen"/>
                <w:b/>
                <w:bCs/>
              </w:rPr>
              <w:t>Responsibility and autonomy:</w:t>
            </w:r>
          </w:p>
          <w:p w14:paraId="33EDDA45" w14:textId="77777777" w:rsidR="00675CD7" w:rsidRDefault="00000000">
            <w:pPr>
              <w:pStyle w:val="ListParagraph"/>
              <w:numPr>
                <w:ilvl w:val="0"/>
                <w:numId w:val="5"/>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demonstrates ethical, professional behavior in different professional settings and takes responsibility in his/her actions;</w:t>
            </w:r>
          </w:p>
          <w:p w14:paraId="46DB6035" w14:textId="77777777" w:rsidR="00675CD7" w:rsidRDefault="00000000">
            <w:pPr>
              <w:pStyle w:val="ListParagraph"/>
              <w:numPr>
                <w:ilvl w:val="0"/>
                <w:numId w:val="5"/>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follows the academic integrity and copyright general norms.</w:t>
            </w:r>
          </w:p>
        </w:tc>
      </w:tr>
      <w:tr w:rsidR="00675CD7" w14:paraId="7AF5A3CD" w14:textId="77777777" w:rsidTr="00675CD7">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414B98F7" w14:textId="77777777" w:rsidR="00675CD7" w:rsidRDefault="00000000">
            <w:pPr>
              <w:autoSpaceDE w:val="0"/>
              <w:autoSpaceDN w:val="0"/>
              <w:adjustRightInd w:val="0"/>
              <w:spacing w:after="0" w:line="240" w:lineRule="auto"/>
              <w:rPr>
                <w:rFonts w:ascii="Sylfaen" w:hAnsi="Sylfaen" w:cs="Sylfaen"/>
                <w:color w:val="000000"/>
                <w:sz w:val="20"/>
                <w:szCs w:val="20"/>
              </w:rPr>
            </w:pPr>
            <w:r>
              <w:rPr>
                <w:rFonts w:ascii="Sylfaen" w:hAnsi="Sylfaen" w:cs="Sylfaen"/>
                <w:color w:val="000000"/>
                <w:sz w:val="20"/>
                <w:szCs w:val="20"/>
              </w:rPr>
              <w:lastRenderedPageBreak/>
              <w:t xml:space="preserve">Learning  and Teaching Methods </w:t>
            </w:r>
          </w:p>
        </w:tc>
        <w:tc>
          <w:tcPr>
            <w:tcW w:w="9769" w:type="dxa"/>
          </w:tcPr>
          <w:p w14:paraId="0C3822D6" w14:textId="74161CF2" w:rsidR="00675CD7" w:rsidRDefault="00000000">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t xml:space="preserve">method of working on the book, </w:t>
            </w:r>
            <w:r w:rsidR="00221ECE">
              <w:rPr>
                <w:rFonts w:ascii="Sylfaen" w:hAnsi="Sylfaen" w:cs="Sylfaen"/>
              </w:rPr>
              <w:t>score</w:t>
            </w:r>
            <w:r>
              <w:rPr>
                <w:rFonts w:ascii="Sylfaen" w:hAnsi="Sylfaen" w:cs="Sylfaen"/>
              </w:rPr>
              <w:t>s,</w:t>
            </w:r>
            <w:r>
              <w:rPr>
                <w:rFonts w:ascii="Sylfaen" w:hAnsi="Sylfaen" w:cs="Sylfaen"/>
                <w:lang w:val="ka-GE"/>
              </w:rPr>
              <w:t xml:space="preserve"> and audio</w:t>
            </w:r>
            <w:r>
              <w:rPr>
                <w:rFonts w:ascii="Sylfaen" w:hAnsi="Sylfaen" w:cs="Sylfaen"/>
              </w:rPr>
              <w:t xml:space="preserve"> recordings;</w:t>
            </w:r>
          </w:p>
          <w:p w14:paraId="609D1CD2" w14:textId="77777777" w:rsidR="00675CD7" w:rsidRDefault="00000000">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t>demonstration method</w:t>
            </w:r>
          </w:p>
          <w:p w14:paraId="06677D28" w14:textId="77777777" w:rsidR="00675CD7" w:rsidRDefault="00000000">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rPr>
              <w:t>explanatory method</w:t>
            </w:r>
          </w:p>
          <w:p w14:paraId="4B392B57" w14:textId="77777777" w:rsidR="00675CD7" w:rsidRDefault="00000000">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t>method of individual</w:t>
            </w:r>
            <w:r>
              <w:rPr>
                <w:rFonts w:ascii="Sylfaen" w:hAnsi="Sylfaen" w:cs="Sylfaen"/>
              </w:rPr>
              <w:t xml:space="preserve"> teaching</w:t>
            </w:r>
          </w:p>
          <w:p w14:paraId="6B409134" w14:textId="77777777" w:rsidR="00675CD7" w:rsidRDefault="00000000">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t>group teaching method</w:t>
            </w:r>
          </w:p>
          <w:p w14:paraId="270F679C" w14:textId="77777777" w:rsidR="00675CD7" w:rsidRDefault="00000000">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rPr>
              <w:t>verbal method</w:t>
            </w:r>
          </w:p>
          <w:p w14:paraId="15069EEC" w14:textId="77777777" w:rsidR="00675CD7" w:rsidRDefault="00000000">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rPr>
              <w:t>rehearsal</w:t>
            </w:r>
          </w:p>
          <w:p w14:paraId="3A0B6FA5" w14:textId="77777777" w:rsidR="00675CD7" w:rsidRDefault="00000000">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t xml:space="preserve">method of written work </w:t>
            </w:r>
          </w:p>
          <w:p w14:paraId="63C6D159" w14:textId="77777777" w:rsidR="00675CD7" w:rsidRDefault="00000000">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t>discussion method</w:t>
            </w:r>
          </w:p>
          <w:p w14:paraId="5D5A3D50" w14:textId="77777777" w:rsidR="00675CD7" w:rsidRDefault="00000000">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lastRenderedPageBreak/>
              <w:t>analysis and synthesis</w:t>
            </w:r>
            <w:r>
              <w:rPr>
                <w:rFonts w:ascii="Sylfaen" w:hAnsi="Sylfaen" w:cs="Sylfaen"/>
              </w:rPr>
              <w:t xml:space="preserve"> method</w:t>
            </w:r>
          </w:p>
          <w:p w14:paraId="69EF1B2C" w14:textId="77777777" w:rsidR="00675CD7" w:rsidRDefault="00675CD7">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p>
          <w:p w14:paraId="14F26385" w14:textId="77777777" w:rsidR="00675CD7"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t>In the process of teaching, the following formats are employed:</w:t>
            </w:r>
          </w:p>
          <w:p w14:paraId="31E09473" w14:textId="77777777" w:rsidR="00675CD7" w:rsidRDefault="0000000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t>lecture and practical training;</w:t>
            </w:r>
          </w:p>
          <w:p w14:paraId="0FABBCEC" w14:textId="77777777" w:rsidR="00675CD7" w:rsidRDefault="0000000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t>midterm assessment</w:t>
            </w:r>
            <w:r>
              <w:rPr>
                <w:rFonts w:ascii="Sylfaen" w:hAnsi="Sylfaen" w:cs="Sylfaen"/>
              </w:rPr>
              <w:t xml:space="preserve"> </w:t>
            </w:r>
            <w:r>
              <w:rPr>
                <w:rFonts w:ascii="Sylfaen" w:hAnsi="Sylfaen" w:cs="Sylfaen"/>
                <w:lang w:val="ka-GE"/>
              </w:rPr>
              <w:t>and presentation-formatted expedition report;</w:t>
            </w:r>
          </w:p>
          <w:p w14:paraId="4A7B659A" w14:textId="77777777" w:rsidR="00675CD7" w:rsidRDefault="0000000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cs="Sylfaen"/>
                <w:lang w:val="ka-GE"/>
              </w:rPr>
              <w:t>teaching in a traditional setting (in the context of the ethnomusicological expedition and performance practice).</w:t>
            </w:r>
          </w:p>
        </w:tc>
      </w:tr>
      <w:tr w:rsidR="00675CD7" w14:paraId="5183B45C" w14:textId="77777777" w:rsidTr="00675CD7">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7F7F7F" w:themeColor="text1" w:themeTint="80"/>
              <w:bottom w:val="single" w:sz="4" w:space="0" w:color="7F7F7F" w:themeColor="text1" w:themeTint="80"/>
            </w:tcBorders>
            <w:shd w:val="clear" w:color="auto" w:fill="D0CECE" w:themeFill="background2" w:themeFillShade="E6"/>
          </w:tcPr>
          <w:p w14:paraId="3C99EE07" w14:textId="77777777" w:rsidR="00675CD7" w:rsidRDefault="00000000">
            <w:pPr>
              <w:autoSpaceDE w:val="0"/>
              <w:autoSpaceDN w:val="0"/>
              <w:adjustRightInd w:val="0"/>
              <w:spacing w:after="0" w:line="240" w:lineRule="auto"/>
              <w:rPr>
                <w:rFonts w:ascii="Sylfaen" w:hAnsi="Sylfaen" w:cs="Sylfaen"/>
                <w:color w:val="000000"/>
                <w:sz w:val="20"/>
                <w:szCs w:val="20"/>
              </w:rPr>
            </w:pPr>
            <w:r>
              <w:rPr>
                <w:rFonts w:ascii="Sylfaen" w:hAnsi="Sylfaen" w:cs="Sylfaen"/>
                <w:color w:val="000000"/>
                <w:sz w:val="20"/>
                <w:szCs w:val="20"/>
              </w:rPr>
              <w:lastRenderedPageBreak/>
              <w:t xml:space="preserve">Assessment Methods </w:t>
            </w:r>
          </w:p>
        </w:tc>
        <w:tc>
          <w:tcPr>
            <w:tcW w:w="9769" w:type="dxa"/>
            <w:tcBorders>
              <w:top w:val="single" w:sz="4" w:space="0" w:color="7F7F7F" w:themeColor="text1" w:themeTint="80"/>
              <w:bottom w:val="single" w:sz="4" w:space="0" w:color="7F7F7F" w:themeColor="text1" w:themeTint="80"/>
            </w:tcBorders>
          </w:tcPr>
          <w:p w14:paraId="784D5470"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The final assessment (100 points), which is the sum of the midterm (one-time or repeated) and final assessments, is used to evaluate the student's academic performance in the study component of the undergraduate educational program.</w:t>
            </w:r>
          </w:p>
          <w:p w14:paraId="49AD3AFB"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Each assessment form and component have a certain share of the final evaluation from the overall evaluation score (100 points), which is stipulated in the applicable syllabus and communicated to the student at the start of the academic semester.</w:t>
            </w:r>
          </w:p>
          <w:p w14:paraId="15BC9769"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The precise percentage of the required minimum competence for the midterm and final assessments is specified in a syllabus and announced to the student at the beginning of the study semester.</w:t>
            </w:r>
          </w:p>
          <w:p w14:paraId="7F096404"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The stipulated by-law assessment system allows for five types of positive assessment:</w:t>
            </w:r>
          </w:p>
          <w:p w14:paraId="264EFB98" w14:textId="77777777" w:rsidR="00675CD7" w:rsidRDefault="00000000">
            <w:pPr>
              <w:numPr>
                <w:ilvl w:val="0"/>
                <w:numId w:val="8"/>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A - excellent – 91-100 points</w:t>
            </w:r>
          </w:p>
          <w:p w14:paraId="3F16BFB9" w14:textId="77777777" w:rsidR="00675CD7" w:rsidRDefault="00000000">
            <w:pPr>
              <w:numPr>
                <w:ilvl w:val="0"/>
                <w:numId w:val="8"/>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B - very good – 81-90 of the maximum assessment</w:t>
            </w:r>
          </w:p>
          <w:p w14:paraId="66C5FD50" w14:textId="77777777" w:rsidR="00675CD7" w:rsidRDefault="00000000">
            <w:pPr>
              <w:numPr>
                <w:ilvl w:val="0"/>
                <w:numId w:val="8"/>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 xml:space="preserve">C - good – 71-80 of the maximum assessment </w:t>
            </w:r>
          </w:p>
          <w:p w14:paraId="5493CF7C" w14:textId="77777777" w:rsidR="00675CD7" w:rsidRDefault="00000000">
            <w:pPr>
              <w:numPr>
                <w:ilvl w:val="0"/>
                <w:numId w:val="8"/>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D - satisfactory – 61-70 of the maximum assessment</w:t>
            </w:r>
          </w:p>
          <w:p w14:paraId="458BB7B1" w14:textId="77777777" w:rsidR="00675CD7" w:rsidRDefault="00000000">
            <w:pPr>
              <w:numPr>
                <w:ilvl w:val="0"/>
                <w:numId w:val="8"/>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E - sufficient – 51-60 of the maximum assessment</w:t>
            </w:r>
          </w:p>
          <w:p w14:paraId="1C12CD81"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The assessment system allows two types of negative assessment:</w:t>
            </w:r>
          </w:p>
          <w:p w14:paraId="18629D4A" w14:textId="77777777" w:rsidR="00675CD7" w:rsidRDefault="00000000">
            <w:pPr>
              <w:numPr>
                <w:ilvl w:val="0"/>
                <w:numId w:val="8"/>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(FX) not able to pass- which indicates that the student needs to complete extra work to pass and is allowed to retake the test through independent study (41–50 points of the maximum assessment)</w:t>
            </w:r>
          </w:p>
          <w:p w14:paraId="1A38E80B" w14:textId="77777777" w:rsidR="00675CD7" w:rsidRDefault="00000000">
            <w:pPr>
              <w:numPr>
                <w:ilvl w:val="0"/>
                <w:numId w:val="8"/>
              </w:num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(F) failed - 40 points and less out of the maximum assessment, indicating the student's work is insufficient, and he must re-take the course.</w:t>
            </w:r>
          </w:p>
          <w:p w14:paraId="142A9E67" w14:textId="77777777" w:rsidR="00675CD7" w:rsidRDefault="0000000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00000"/>
              </w:rPr>
            </w:pPr>
            <w:r>
              <w:rPr>
                <w:rFonts w:ascii="Sylfaen" w:eastAsia="Times New Roman" w:hAnsi="Sylfaen" w:cs="Times New Roman"/>
                <w:color w:val="000000"/>
              </w:rPr>
              <w:t xml:space="preserve">If a student is evaluated by FX, the extra exam will be arranged for him/her at least 5 calendar days after the results of the initial final exam are released. </w:t>
            </w:r>
            <w:r>
              <w:rPr>
                <w:rFonts w:ascii="Sylfaen" w:eastAsia="Times New Roman" w:hAnsi="Sylfaen" w:cs="Times New Roman"/>
                <w:color w:val="000000"/>
                <w:lang w:val="ro-RO"/>
              </w:rPr>
              <w:t xml:space="preserve">The number of points obtained as a result of the final exam is not added to the number of points accumulated on the additional exam. The result of the additional exam is considered final and is reflected in the final evaluation of the educational program’s </w:t>
            </w:r>
            <w:r>
              <w:rPr>
                <w:rFonts w:ascii="Sylfaen" w:eastAsia="Times New Roman" w:hAnsi="Sylfaen" w:cs="Times New Roman"/>
                <w:color w:val="000000"/>
                <w:lang w:val="ro-RO"/>
              </w:rPr>
              <w:lastRenderedPageBreak/>
              <w:t>educational component. The student is given an F-0 grade if the final assessment for the educational component is 0 to 50, taking into account his performance on the additional examination.</w:t>
            </w:r>
          </w:p>
          <w:p w14:paraId="420B95EE" w14:textId="77777777" w:rsidR="00675CD7" w:rsidRDefault="0000000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The criteria for evaluation set out in the master's thesis/project creation guidelines are applicable for evaluating the research component. The criteria imply the reviewer's and the defense commission's assessments.</w:t>
            </w:r>
          </w:p>
        </w:tc>
      </w:tr>
      <w:tr w:rsidR="00675CD7" w14:paraId="384596DC" w14:textId="77777777" w:rsidTr="00675CD7">
        <w:trPr>
          <w:trHeight w:val="503"/>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44AB12A6" w14:textId="77777777" w:rsidR="00675CD7" w:rsidRDefault="00000000">
            <w:pPr>
              <w:autoSpaceDE w:val="0"/>
              <w:autoSpaceDN w:val="0"/>
              <w:adjustRightInd w:val="0"/>
              <w:spacing w:after="0" w:line="240" w:lineRule="auto"/>
              <w:rPr>
                <w:rFonts w:ascii="Sylfaen" w:hAnsi="Sylfaen" w:cs="Sylfaen"/>
                <w:color w:val="000000"/>
                <w:sz w:val="20"/>
                <w:szCs w:val="20"/>
              </w:rPr>
            </w:pPr>
            <w:r>
              <w:rPr>
                <w:rFonts w:ascii="Sylfaen" w:hAnsi="Sylfaen" w:cs="Sylfaen"/>
                <w:color w:val="000000"/>
                <w:sz w:val="20"/>
                <w:szCs w:val="20"/>
              </w:rPr>
              <w:lastRenderedPageBreak/>
              <w:t>Career Options</w:t>
            </w:r>
          </w:p>
        </w:tc>
        <w:tc>
          <w:tcPr>
            <w:tcW w:w="9769" w:type="dxa"/>
          </w:tcPr>
          <w:p w14:paraId="71F7535A" w14:textId="77777777" w:rsidR="00675CD7" w:rsidRDefault="00000000">
            <w:pPr>
              <w:spacing w:after="320" w:line="276"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rPr>
            </w:pPr>
            <w:r>
              <w:rPr>
                <w:rFonts w:ascii="Sylfaen" w:eastAsia="Times New Roman" w:hAnsi="Sylfaen" w:cs="Times New Roman"/>
              </w:rPr>
              <w:t>The program's graduate will be qualified to work in the fields of education, culture, science, media, creative industries, public, non-governmental, or private sectors, as well as independently conduct educational, cultural, and other initiatives.</w:t>
            </w:r>
          </w:p>
        </w:tc>
      </w:tr>
      <w:tr w:rsidR="00675CD7" w14:paraId="17DA9579" w14:textId="77777777" w:rsidTr="00675CD7">
        <w:trPr>
          <w:trHeight w:val="389"/>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60B956CD" w14:textId="77777777" w:rsidR="00675CD7" w:rsidRDefault="00000000">
            <w:pPr>
              <w:autoSpaceDE w:val="0"/>
              <w:autoSpaceDN w:val="0"/>
              <w:adjustRightInd w:val="0"/>
              <w:spacing w:after="0" w:line="240" w:lineRule="auto"/>
              <w:rPr>
                <w:rFonts w:ascii="Sylfaen" w:hAnsi="Sylfaen" w:cs="Sylfaen,Bold"/>
                <w:b w:val="0"/>
                <w:bCs w:val="0"/>
                <w:color w:val="000000"/>
                <w:sz w:val="20"/>
                <w:szCs w:val="20"/>
              </w:rPr>
            </w:pPr>
            <w:r>
              <w:rPr>
                <w:rFonts w:ascii="Sylfaen" w:hAnsi="Sylfaen" w:cs="Sylfaen"/>
                <w:color w:val="000000"/>
                <w:sz w:val="20"/>
                <w:szCs w:val="20"/>
              </w:rPr>
              <w:t xml:space="preserve">Additional information </w:t>
            </w:r>
            <w:r>
              <w:rPr>
                <w:rFonts w:ascii="Sylfaen" w:hAnsi="Sylfaen" w:cs="Sylfaen,Bold"/>
                <w:color w:val="000000"/>
                <w:sz w:val="20"/>
                <w:szCs w:val="20"/>
              </w:rPr>
              <w:t>(if any)</w:t>
            </w:r>
          </w:p>
          <w:p w14:paraId="4143F15B" w14:textId="77777777" w:rsidR="00675CD7" w:rsidRDefault="00675CD7">
            <w:pPr>
              <w:autoSpaceDE w:val="0"/>
              <w:autoSpaceDN w:val="0"/>
              <w:adjustRightInd w:val="0"/>
              <w:spacing w:after="0" w:line="240" w:lineRule="auto"/>
              <w:rPr>
                <w:rFonts w:ascii="Sylfaen" w:hAnsi="Sylfaen" w:cs="Sylfaen"/>
                <w:b w:val="0"/>
                <w:bCs w:val="0"/>
                <w:color w:val="000000"/>
                <w:sz w:val="20"/>
                <w:szCs w:val="20"/>
              </w:rPr>
            </w:pPr>
          </w:p>
        </w:tc>
        <w:tc>
          <w:tcPr>
            <w:tcW w:w="9769" w:type="dxa"/>
          </w:tcPr>
          <w:p w14:paraId="668F05B3" w14:textId="77777777" w:rsidR="00675CD7" w:rsidRDefault="0000000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The applicant for the educational program, and later the student, must recognize the significance of the values outlined in the Conservatory's Code of Ethics and Academic Integrity Policy and adhere to them scrupulously.</w:t>
            </w:r>
          </w:p>
        </w:tc>
      </w:tr>
    </w:tbl>
    <w:p w14:paraId="37A4F695" w14:textId="77777777" w:rsidR="00675CD7" w:rsidRDefault="00675CD7">
      <w:pPr>
        <w:jc w:val="center"/>
        <w:rPr>
          <w:rFonts w:ascii="Sylfaen" w:hAnsi="Sylfaen"/>
          <w:lang w:val="ka-GE"/>
        </w:rPr>
      </w:pPr>
    </w:p>
    <w:p w14:paraId="4E9491BD" w14:textId="77777777" w:rsidR="00675CD7" w:rsidRDefault="00675CD7">
      <w:pPr>
        <w:rPr>
          <w:rFonts w:ascii="Sylfaen" w:hAnsi="Sylfaen"/>
          <w:b/>
        </w:rPr>
      </w:pPr>
    </w:p>
    <w:sectPr w:rsidR="00675CD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F191" w14:textId="77777777" w:rsidR="00360147" w:rsidRDefault="00360147">
      <w:pPr>
        <w:spacing w:line="240" w:lineRule="auto"/>
      </w:pPr>
      <w:r>
        <w:separator/>
      </w:r>
    </w:p>
  </w:endnote>
  <w:endnote w:type="continuationSeparator" w:id="0">
    <w:p w14:paraId="53B8196B" w14:textId="77777777" w:rsidR="00360147" w:rsidRDefault="00360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ylfaen,Bold">
    <w:altName w:val="Times New Roman"/>
    <w:charset w:val="00"/>
    <w:family w:val="auto"/>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A77F" w14:textId="77777777" w:rsidR="00360147" w:rsidRDefault="00360147">
      <w:pPr>
        <w:spacing w:after="0"/>
      </w:pPr>
      <w:r>
        <w:separator/>
      </w:r>
    </w:p>
  </w:footnote>
  <w:footnote w:type="continuationSeparator" w:id="0">
    <w:p w14:paraId="0E92EB82" w14:textId="77777777" w:rsidR="00360147" w:rsidRDefault="003601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ABA0" w14:textId="77777777" w:rsidR="00675CD7" w:rsidRDefault="00000000">
    <w:pPr>
      <w:pStyle w:val="Header"/>
      <w:jc w:val="center"/>
    </w:pPr>
    <w:r>
      <w:rPr>
        <w:rFonts w:ascii="Sylfaen" w:hAnsi="Sylfaen"/>
        <w:b/>
        <w:sz w:val="20"/>
        <w:szCs w:val="20"/>
      </w:rPr>
      <w:t xml:space="preserve">LEPL – Vano </w:t>
    </w:r>
    <w:proofErr w:type="spellStart"/>
    <w:r>
      <w:rPr>
        <w:rFonts w:ascii="Sylfaen" w:hAnsi="Sylfaen"/>
        <w:b/>
        <w:sz w:val="20"/>
        <w:szCs w:val="20"/>
      </w:rPr>
      <w:t>Sarajishvili</w:t>
    </w:r>
    <w:proofErr w:type="spellEnd"/>
    <w:r>
      <w:rPr>
        <w:rFonts w:ascii="Sylfaen" w:hAnsi="Sylfaen"/>
        <w:b/>
        <w:sz w:val="20"/>
        <w:szCs w:val="20"/>
      </w:rPr>
      <w:t xml:space="preserve"> Tbilisi State Conservatoire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F7B"/>
    <w:multiLevelType w:val="multilevel"/>
    <w:tmpl w:val="0BF96F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6D43B9"/>
    <w:multiLevelType w:val="multilevel"/>
    <w:tmpl w:val="116D43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BC04D8"/>
    <w:multiLevelType w:val="multilevel"/>
    <w:tmpl w:val="19BC0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43704"/>
    <w:multiLevelType w:val="multilevel"/>
    <w:tmpl w:val="21143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725019"/>
    <w:multiLevelType w:val="multilevel"/>
    <w:tmpl w:val="2572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D5731E"/>
    <w:multiLevelType w:val="multilevel"/>
    <w:tmpl w:val="31D57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0F35D2"/>
    <w:multiLevelType w:val="multilevel"/>
    <w:tmpl w:val="740F35D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131417"/>
    <w:multiLevelType w:val="multilevel"/>
    <w:tmpl w:val="791314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36404758">
    <w:abstractNumId w:val="5"/>
  </w:num>
  <w:num w:numId="2" w16cid:durableId="1670524200">
    <w:abstractNumId w:val="2"/>
  </w:num>
  <w:num w:numId="3" w16cid:durableId="1012755383">
    <w:abstractNumId w:val="0"/>
  </w:num>
  <w:num w:numId="4" w16cid:durableId="322438874">
    <w:abstractNumId w:val="4"/>
  </w:num>
  <w:num w:numId="5" w16cid:durableId="601033319">
    <w:abstractNumId w:val="7"/>
  </w:num>
  <w:num w:numId="6" w16cid:durableId="230582804">
    <w:abstractNumId w:val="6"/>
  </w:num>
  <w:num w:numId="7" w16cid:durableId="1333413292">
    <w:abstractNumId w:val="3"/>
  </w:num>
  <w:num w:numId="8" w16cid:durableId="1474834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BE"/>
    <w:rsid w:val="0000059F"/>
    <w:rsid w:val="00010E3E"/>
    <w:rsid w:val="00010F75"/>
    <w:rsid w:val="000111EE"/>
    <w:rsid w:val="000156B6"/>
    <w:rsid w:val="00016FE3"/>
    <w:rsid w:val="00032501"/>
    <w:rsid w:val="0003291D"/>
    <w:rsid w:val="000329FF"/>
    <w:rsid w:val="00041AAB"/>
    <w:rsid w:val="00051D9B"/>
    <w:rsid w:val="0005548F"/>
    <w:rsid w:val="000724A5"/>
    <w:rsid w:val="000757CB"/>
    <w:rsid w:val="00077C52"/>
    <w:rsid w:val="00081B40"/>
    <w:rsid w:val="00092E69"/>
    <w:rsid w:val="00095E71"/>
    <w:rsid w:val="000A6CC2"/>
    <w:rsid w:val="000B39A3"/>
    <w:rsid w:val="000C07CC"/>
    <w:rsid w:val="000C4790"/>
    <w:rsid w:val="000C5543"/>
    <w:rsid w:val="000E04E9"/>
    <w:rsid w:val="000E1117"/>
    <w:rsid w:val="000F554A"/>
    <w:rsid w:val="001014C3"/>
    <w:rsid w:val="00114DDD"/>
    <w:rsid w:val="00122B58"/>
    <w:rsid w:val="00122E85"/>
    <w:rsid w:val="0013778A"/>
    <w:rsid w:val="00137E50"/>
    <w:rsid w:val="0014292B"/>
    <w:rsid w:val="001479B1"/>
    <w:rsid w:val="00165D88"/>
    <w:rsid w:val="001731B7"/>
    <w:rsid w:val="0017354E"/>
    <w:rsid w:val="00174F47"/>
    <w:rsid w:val="0017620D"/>
    <w:rsid w:val="001A64F5"/>
    <w:rsid w:val="001B02CC"/>
    <w:rsid w:val="001B16D0"/>
    <w:rsid w:val="001B3E39"/>
    <w:rsid w:val="001B7D6E"/>
    <w:rsid w:val="001C1B1C"/>
    <w:rsid w:val="001C38AA"/>
    <w:rsid w:val="001C5BE7"/>
    <w:rsid w:val="001D4648"/>
    <w:rsid w:val="001E1DB9"/>
    <w:rsid w:val="001E6E0D"/>
    <w:rsid w:val="001F580A"/>
    <w:rsid w:val="00202C91"/>
    <w:rsid w:val="002068FB"/>
    <w:rsid w:val="00213AE4"/>
    <w:rsid w:val="0021408C"/>
    <w:rsid w:val="002151FC"/>
    <w:rsid w:val="00221ECE"/>
    <w:rsid w:val="00230E12"/>
    <w:rsid w:val="00231ED1"/>
    <w:rsid w:val="0024076D"/>
    <w:rsid w:val="0024407D"/>
    <w:rsid w:val="002443B9"/>
    <w:rsid w:val="00244F87"/>
    <w:rsid w:val="00250302"/>
    <w:rsid w:val="0025654F"/>
    <w:rsid w:val="00271AA3"/>
    <w:rsid w:val="00273AC3"/>
    <w:rsid w:val="00274D54"/>
    <w:rsid w:val="00276893"/>
    <w:rsid w:val="0028037B"/>
    <w:rsid w:val="0028547F"/>
    <w:rsid w:val="00291ACD"/>
    <w:rsid w:val="002A6A09"/>
    <w:rsid w:val="002B38E3"/>
    <w:rsid w:val="002B69B6"/>
    <w:rsid w:val="002C398E"/>
    <w:rsid w:val="002C4FAC"/>
    <w:rsid w:val="002E7811"/>
    <w:rsid w:val="002F4F60"/>
    <w:rsid w:val="00310B68"/>
    <w:rsid w:val="00313E39"/>
    <w:rsid w:val="003278A1"/>
    <w:rsid w:val="0033124E"/>
    <w:rsid w:val="00332521"/>
    <w:rsid w:val="00335143"/>
    <w:rsid w:val="00337A32"/>
    <w:rsid w:val="00353C24"/>
    <w:rsid w:val="00360147"/>
    <w:rsid w:val="00360456"/>
    <w:rsid w:val="003651C5"/>
    <w:rsid w:val="00372869"/>
    <w:rsid w:val="00384AD6"/>
    <w:rsid w:val="00391E36"/>
    <w:rsid w:val="003A0D78"/>
    <w:rsid w:val="003A2D49"/>
    <w:rsid w:val="003B1466"/>
    <w:rsid w:val="003B4EC4"/>
    <w:rsid w:val="003C20D6"/>
    <w:rsid w:val="003C3E87"/>
    <w:rsid w:val="003C559E"/>
    <w:rsid w:val="003C7606"/>
    <w:rsid w:val="003D1EF3"/>
    <w:rsid w:val="003D21C1"/>
    <w:rsid w:val="003D6577"/>
    <w:rsid w:val="003E0D92"/>
    <w:rsid w:val="003E4877"/>
    <w:rsid w:val="003E6E98"/>
    <w:rsid w:val="00400832"/>
    <w:rsid w:val="00410583"/>
    <w:rsid w:val="00421EA5"/>
    <w:rsid w:val="00436832"/>
    <w:rsid w:val="004559D6"/>
    <w:rsid w:val="0045672E"/>
    <w:rsid w:val="004653BA"/>
    <w:rsid w:val="00465986"/>
    <w:rsid w:val="00467D15"/>
    <w:rsid w:val="004734BA"/>
    <w:rsid w:val="00477F1A"/>
    <w:rsid w:val="0048051B"/>
    <w:rsid w:val="004819F0"/>
    <w:rsid w:val="00484835"/>
    <w:rsid w:val="0049048C"/>
    <w:rsid w:val="00490B83"/>
    <w:rsid w:val="004938F0"/>
    <w:rsid w:val="00493D24"/>
    <w:rsid w:val="00497D2D"/>
    <w:rsid w:val="004A3088"/>
    <w:rsid w:val="004A3D51"/>
    <w:rsid w:val="004C6840"/>
    <w:rsid w:val="004E1EF4"/>
    <w:rsid w:val="004E272D"/>
    <w:rsid w:val="004E3531"/>
    <w:rsid w:val="004F079D"/>
    <w:rsid w:val="004F73FB"/>
    <w:rsid w:val="004F7ABF"/>
    <w:rsid w:val="00501BE8"/>
    <w:rsid w:val="005208A8"/>
    <w:rsid w:val="00521A8C"/>
    <w:rsid w:val="00522A4E"/>
    <w:rsid w:val="005262A2"/>
    <w:rsid w:val="0052657C"/>
    <w:rsid w:val="005270BC"/>
    <w:rsid w:val="00534F9C"/>
    <w:rsid w:val="0054468C"/>
    <w:rsid w:val="00562C85"/>
    <w:rsid w:val="005647DD"/>
    <w:rsid w:val="00570BE3"/>
    <w:rsid w:val="00573B51"/>
    <w:rsid w:val="005747CF"/>
    <w:rsid w:val="0057627F"/>
    <w:rsid w:val="0057655C"/>
    <w:rsid w:val="00582355"/>
    <w:rsid w:val="0058660E"/>
    <w:rsid w:val="005873D5"/>
    <w:rsid w:val="00593303"/>
    <w:rsid w:val="00595CAC"/>
    <w:rsid w:val="005A2780"/>
    <w:rsid w:val="005B06D8"/>
    <w:rsid w:val="005B0A24"/>
    <w:rsid w:val="005B75D8"/>
    <w:rsid w:val="005C6C24"/>
    <w:rsid w:val="005D3A1C"/>
    <w:rsid w:val="005D78C7"/>
    <w:rsid w:val="005E0C5D"/>
    <w:rsid w:val="005E3671"/>
    <w:rsid w:val="005F2029"/>
    <w:rsid w:val="005F457F"/>
    <w:rsid w:val="00601022"/>
    <w:rsid w:val="00606B80"/>
    <w:rsid w:val="006109DF"/>
    <w:rsid w:val="0061133B"/>
    <w:rsid w:val="0061349D"/>
    <w:rsid w:val="00613DD9"/>
    <w:rsid w:val="00614E79"/>
    <w:rsid w:val="00621F68"/>
    <w:rsid w:val="00623929"/>
    <w:rsid w:val="0062609F"/>
    <w:rsid w:val="00626780"/>
    <w:rsid w:val="00630163"/>
    <w:rsid w:val="00636903"/>
    <w:rsid w:val="0064042D"/>
    <w:rsid w:val="00644BC1"/>
    <w:rsid w:val="00645621"/>
    <w:rsid w:val="00647B51"/>
    <w:rsid w:val="0065390A"/>
    <w:rsid w:val="006540E4"/>
    <w:rsid w:val="006548B7"/>
    <w:rsid w:val="006615B4"/>
    <w:rsid w:val="00663241"/>
    <w:rsid w:val="00663637"/>
    <w:rsid w:val="00664CA3"/>
    <w:rsid w:val="00665201"/>
    <w:rsid w:val="00671A0D"/>
    <w:rsid w:val="0067374C"/>
    <w:rsid w:val="006756C5"/>
    <w:rsid w:val="00675829"/>
    <w:rsid w:val="00675CD7"/>
    <w:rsid w:val="00676DA5"/>
    <w:rsid w:val="006B0252"/>
    <w:rsid w:val="006B3237"/>
    <w:rsid w:val="006B6710"/>
    <w:rsid w:val="006B6EC2"/>
    <w:rsid w:val="006D707D"/>
    <w:rsid w:val="00703BC1"/>
    <w:rsid w:val="00712BEB"/>
    <w:rsid w:val="00715115"/>
    <w:rsid w:val="007159CA"/>
    <w:rsid w:val="00721901"/>
    <w:rsid w:val="00727738"/>
    <w:rsid w:val="00727DFC"/>
    <w:rsid w:val="00731574"/>
    <w:rsid w:val="007476C3"/>
    <w:rsid w:val="00761BF0"/>
    <w:rsid w:val="007668E0"/>
    <w:rsid w:val="00781A9E"/>
    <w:rsid w:val="007A13B2"/>
    <w:rsid w:val="007B2370"/>
    <w:rsid w:val="007B618F"/>
    <w:rsid w:val="007C510F"/>
    <w:rsid w:val="007D4F9D"/>
    <w:rsid w:val="007D4FEF"/>
    <w:rsid w:val="007D716F"/>
    <w:rsid w:val="007E3891"/>
    <w:rsid w:val="007E4D30"/>
    <w:rsid w:val="007E6D20"/>
    <w:rsid w:val="007E75BE"/>
    <w:rsid w:val="0080022A"/>
    <w:rsid w:val="00803952"/>
    <w:rsid w:val="00805E7C"/>
    <w:rsid w:val="00806C3F"/>
    <w:rsid w:val="00807B46"/>
    <w:rsid w:val="008159FC"/>
    <w:rsid w:val="00817EC5"/>
    <w:rsid w:val="00822973"/>
    <w:rsid w:val="008326A2"/>
    <w:rsid w:val="00832A96"/>
    <w:rsid w:val="00836925"/>
    <w:rsid w:val="008503DF"/>
    <w:rsid w:val="00853FD0"/>
    <w:rsid w:val="008628BC"/>
    <w:rsid w:val="00864F7C"/>
    <w:rsid w:val="008756E0"/>
    <w:rsid w:val="00883D34"/>
    <w:rsid w:val="00891369"/>
    <w:rsid w:val="00892AAF"/>
    <w:rsid w:val="00893215"/>
    <w:rsid w:val="008A034B"/>
    <w:rsid w:val="008A5CAE"/>
    <w:rsid w:val="008C00BE"/>
    <w:rsid w:val="008D3848"/>
    <w:rsid w:val="008E031A"/>
    <w:rsid w:val="008E7002"/>
    <w:rsid w:val="008F626B"/>
    <w:rsid w:val="0090115F"/>
    <w:rsid w:val="009026DE"/>
    <w:rsid w:val="00904C36"/>
    <w:rsid w:val="009173D1"/>
    <w:rsid w:val="00920ED7"/>
    <w:rsid w:val="00921162"/>
    <w:rsid w:val="00926882"/>
    <w:rsid w:val="0093232E"/>
    <w:rsid w:val="009369C6"/>
    <w:rsid w:val="00937180"/>
    <w:rsid w:val="00951E5C"/>
    <w:rsid w:val="00952012"/>
    <w:rsid w:val="00957900"/>
    <w:rsid w:val="009719F8"/>
    <w:rsid w:val="00982A69"/>
    <w:rsid w:val="0098702F"/>
    <w:rsid w:val="009931E5"/>
    <w:rsid w:val="009B05E4"/>
    <w:rsid w:val="009B47F0"/>
    <w:rsid w:val="009C026C"/>
    <w:rsid w:val="009C7896"/>
    <w:rsid w:val="009D0B4A"/>
    <w:rsid w:val="009D36B9"/>
    <w:rsid w:val="009E04C7"/>
    <w:rsid w:val="009E2624"/>
    <w:rsid w:val="009E2965"/>
    <w:rsid w:val="009E4071"/>
    <w:rsid w:val="009E622B"/>
    <w:rsid w:val="009F5786"/>
    <w:rsid w:val="009F6392"/>
    <w:rsid w:val="00A00601"/>
    <w:rsid w:val="00A127BA"/>
    <w:rsid w:val="00A13213"/>
    <w:rsid w:val="00A143D2"/>
    <w:rsid w:val="00A211C7"/>
    <w:rsid w:val="00A21EAD"/>
    <w:rsid w:val="00A24B53"/>
    <w:rsid w:val="00A251E8"/>
    <w:rsid w:val="00A33A98"/>
    <w:rsid w:val="00A43702"/>
    <w:rsid w:val="00A55544"/>
    <w:rsid w:val="00A5557B"/>
    <w:rsid w:val="00A80092"/>
    <w:rsid w:val="00A8011C"/>
    <w:rsid w:val="00A9438F"/>
    <w:rsid w:val="00AA4E2C"/>
    <w:rsid w:val="00AB1629"/>
    <w:rsid w:val="00AB1F12"/>
    <w:rsid w:val="00AB2ED7"/>
    <w:rsid w:val="00AB6ACE"/>
    <w:rsid w:val="00AC58D3"/>
    <w:rsid w:val="00AD0909"/>
    <w:rsid w:val="00AD121E"/>
    <w:rsid w:val="00AD58D6"/>
    <w:rsid w:val="00AD604C"/>
    <w:rsid w:val="00AF1FDD"/>
    <w:rsid w:val="00AF3C73"/>
    <w:rsid w:val="00AF56D5"/>
    <w:rsid w:val="00B01F49"/>
    <w:rsid w:val="00B0503B"/>
    <w:rsid w:val="00B25C1F"/>
    <w:rsid w:val="00B32BCD"/>
    <w:rsid w:val="00B3405B"/>
    <w:rsid w:val="00B35CB1"/>
    <w:rsid w:val="00B36789"/>
    <w:rsid w:val="00B36BCB"/>
    <w:rsid w:val="00B42343"/>
    <w:rsid w:val="00B466A0"/>
    <w:rsid w:val="00B62D50"/>
    <w:rsid w:val="00B709BB"/>
    <w:rsid w:val="00B71253"/>
    <w:rsid w:val="00B81037"/>
    <w:rsid w:val="00B91561"/>
    <w:rsid w:val="00B948F5"/>
    <w:rsid w:val="00B9560B"/>
    <w:rsid w:val="00B97AAB"/>
    <w:rsid w:val="00BA69FB"/>
    <w:rsid w:val="00BA6FCE"/>
    <w:rsid w:val="00BA7089"/>
    <w:rsid w:val="00BB56CF"/>
    <w:rsid w:val="00BB69F9"/>
    <w:rsid w:val="00BC542A"/>
    <w:rsid w:val="00BC5A1D"/>
    <w:rsid w:val="00BC7973"/>
    <w:rsid w:val="00BE01F9"/>
    <w:rsid w:val="00BE5436"/>
    <w:rsid w:val="00BE6C40"/>
    <w:rsid w:val="00BF02E9"/>
    <w:rsid w:val="00BF6A11"/>
    <w:rsid w:val="00BF6D45"/>
    <w:rsid w:val="00BF78CF"/>
    <w:rsid w:val="00C037B9"/>
    <w:rsid w:val="00C12269"/>
    <w:rsid w:val="00C1342B"/>
    <w:rsid w:val="00C16B2E"/>
    <w:rsid w:val="00C21AC9"/>
    <w:rsid w:val="00C2569B"/>
    <w:rsid w:val="00C41CAC"/>
    <w:rsid w:val="00C50E1E"/>
    <w:rsid w:val="00C5610E"/>
    <w:rsid w:val="00C578A4"/>
    <w:rsid w:val="00C761D6"/>
    <w:rsid w:val="00C951C3"/>
    <w:rsid w:val="00CA4F8B"/>
    <w:rsid w:val="00CB0B45"/>
    <w:rsid w:val="00CB3EF1"/>
    <w:rsid w:val="00CB50BC"/>
    <w:rsid w:val="00CC3284"/>
    <w:rsid w:val="00CC365C"/>
    <w:rsid w:val="00CE1A97"/>
    <w:rsid w:val="00CE509D"/>
    <w:rsid w:val="00CE518C"/>
    <w:rsid w:val="00CF3921"/>
    <w:rsid w:val="00CF6F54"/>
    <w:rsid w:val="00D03542"/>
    <w:rsid w:val="00D03C83"/>
    <w:rsid w:val="00D0652B"/>
    <w:rsid w:val="00D10340"/>
    <w:rsid w:val="00D128DA"/>
    <w:rsid w:val="00D23A7D"/>
    <w:rsid w:val="00D30DA2"/>
    <w:rsid w:val="00D348A1"/>
    <w:rsid w:val="00D34A75"/>
    <w:rsid w:val="00D34ED8"/>
    <w:rsid w:val="00D34FA1"/>
    <w:rsid w:val="00D35B38"/>
    <w:rsid w:val="00D36D7B"/>
    <w:rsid w:val="00D42921"/>
    <w:rsid w:val="00D44F90"/>
    <w:rsid w:val="00D50A84"/>
    <w:rsid w:val="00D52818"/>
    <w:rsid w:val="00D67844"/>
    <w:rsid w:val="00D723A0"/>
    <w:rsid w:val="00D74E78"/>
    <w:rsid w:val="00D76511"/>
    <w:rsid w:val="00D77E36"/>
    <w:rsid w:val="00D80058"/>
    <w:rsid w:val="00DB0817"/>
    <w:rsid w:val="00DB610B"/>
    <w:rsid w:val="00DC6F6C"/>
    <w:rsid w:val="00DD50D0"/>
    <w:rsid w:val="00DF0E45"/>
    <w:rsid w:val="00DF0FCD"/>
    <w:rsid w:val="00DF68E3"/>
    <w:rsid w:val="00DF737B"/>
    <w:rsid w:val="00DF7BD2"/>
    <w:rsid w:val="00E021BF"/>
    <w:rsid w:val="00E0551C"/>
    <w:rsid w:val="00E073B2"/>
    <w:rsid w:val="00E10374"/>
    <w:rsid w:val="00E1079B"/>
    <w:rsid w:val="00E14E5B"/>
    <w:rsid w:val="00E23A33"/>
    <w:rsid w:val="00E303A4"/>
    <w:rsid w:val="00E34DA3"/>
    <w:rsid w:val="00E408BF"/>
    <w:rsid w:val="00E478B5"/>
    <w:rsid w:val="00E516C3"/>
    <w:rsid w:val="00E5234E"/>
    <w:rsid w:val="00E545B6"/>
    <w:rsid w:val="00E55C46"/>
    <w:rsid w:val="00E561C4"/>
    <w:rsid w:val="00E60DB4"/>
    <w:rsid w:val="00E6426A"/>
    <w:rsid w:val="00E74AB4"/>
    <w:rsid w:val="00E91776"/>
    <w:rsid w:val="00E9323B"/>
    <w:rsid w:val="00EA5A27"/>
    <w:rsid w:val="00EB4B71"/>
    <w:rsid w:val="00ED28DC"/>
    <w:rsid w:val="00ED7BC3"/>
    <w:rsid w:val="00EE033D"/>
    <w:rsid w:val="00EF4FE7"/>
    <w:rsid w:val="00F1326A"/>
    <w:rsid w:val="00F1740E"/>
    <w:rsid w:val="00F27CAD"/>
    <w:rsid w:val="00F33CE5"/>
    <w:rsid w:val="00F40167"/>
    <w:rsid w:val="00F45E6D"/>
    <w:rsid w:val="00F573BF"/>
    <w:rsid w:val="00F62D18"/>
    <w:rsid w:val="00F65BE1"/>
    <w:rsid w:val="00F67559"/>
    <w:rsid w:val="00F6757D"/>
    <w:rsid w:val="00F72C5B"/>
    <w:rsid w:val="00F73C9F"/>
    <w:rsid w:val="00FA0A2E"/>
    <w:rsid w:val="00FB380A"/>
    <w:rsid w:val="00FB45F8"/>
    <w:rsid w:val="00FC5567"/>
    <w:rsid w:val="00FC6C47"/>
    <w:rsid w:val="00FC7701"/>
    <w:rsid w:val="00FD569D"/>
    <w:rsid w:val="04D70E27"/>
    <w:rsid w:val="05E45C3A"/>
    <w:rsid w:val="07A22F33"/>
    <w:rsid w:val="0BDB2CEA"/>
    <w:rsid w:val="0E7B639D"/>
    <w:rsid w:val="0F940238"/>
    <w:rsid w:val="120C25C0"/>
    <w:rsid w:val="1CB07AF7"/>
    <w:rsid w:val="1EEA2146"/>
    <w:rsid w:val="244D42EB"/>
    <w:rsid w:val="2EC22956"/>
    <w:rsid w:val="304F20A5"/>
    <w:rsid w:val="319D3425"/>
    <w:rsid w:val="360641B9"/>
    <w:rsid w:val="53BE17AC"/>
    <w:rsid w:val="6B7869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AA72"/>
  <w15:docId w15:val="{4E8AF124-189D-45E5-A115-AE1F0705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pPr>
      <w:tabs>
        <w:tab w:val="center" w:pos="4844"/>
        <w:tab w:val="right" w:pos="9689"/>
      </w:tabs>
      <w:spacing w:after="0" w:line="240" w:lineRule="auto"/>
      <w:jc w:val="both"/>
    </w:pPr>
    <w:rPr>
      <w:rFonts w:ascii="Times New Roman" w:eastAsia="MS Mincho" w:hAnsi="Times New Roman" w:cs="Times New Roman"/>
      <w:lang w:eastAsia="ja-JP"/>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table" w:customStyle="1" w:styleId="21">
    <w:name w:val="Таблица простая 21"/>
    <w:basedOn w:val="TableNormal"/>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ListParagraphChar">
    <w:name w:val="List Paragraph Char"/>
    <w:link w:val="ListParagraph"/>
    <w:uiPriority w:val="34"/>
    <w:locked/>
  </w:style>
  <w:style w:type="character" w:customStyle="1" w:styleId="HeaderChar">
    <w:name w:val="Header Char"/>
    <w:basedOn w:val="DefaultParagraphFont"/>
    <w:link w:val="Header"/>
    <w:uiPriority w:val="99"/>
    <w:rPr>
      <w:rFonts w:ascii="Times New Roman" w:eastAsia="MS Mincho" w:hAnsi="Times New Roman" w:cs="Times New Roman"/>
      <w:lang w:eastAsia="ja-JP"/>
    </w:rPr>
  </w:style>
  <w:style w:type="paragraph" w:customStyle="1" w:styleId="ckhrilixml">
    <w:name w:val="ckhrili_xml"/>
    <w:basedOn w:val="Normal"/>
    <w:uiPriority w:val="99"/>
    <w:pPr>
      <w:framePr w:hSpace="180" w:wrap="auto" w:vAnchor="text" w:hAnchor="text" w:y="1"/>
      <w:spacing w:after="0" w:line="240" w:lineRule="auto"/>
      <w:suppressOverlap/>
    </w:pPr>
    <w:rPr>
      <w:rFonts w:ascii="Sylfaen" w:eastAsia="Times New Roman" w:hAnsi="Sylfaen" w:cs="Sylfaen"/>
      <w:lang w:val="ka-GE"/>
    </w:rPr>
  </w:style>
  <w:style w:type="table" w:customStyle="1" w:styleId="TableGrid0">
    <w:name w:val="TableGrid"/>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4C9D-36A0-4C05-AD70-9A1A60D6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anny.zhorzholiani@gmail.com</dc:creator>
  <cp:lastModifiedBy>GeoComputers</cp:lastModifiedBy>
  <cp:revision>67</cp:revision>
  <cp:lastPrinted>2023-09-08T11:45:00Z</cp:lastPrinted>
  <dcterms:created xsi:type="dcterms:W3CDTF">2022-09-22T10:12:00Z</dcterms:created>
  <dcterms:modified xsi:type="dcterms:W3CDTF">2023-09-08T19:25:00Z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b0e88be4fdaf2b8a04d4d087f529c7e50fe7530a48a35906b7bb18cbd054a520</vt:lpwstr>
  </property>
  <property fmtid="{D5CDD505-2E9C-101B-9397-08002B2CF9AE}" pid="3" name="KSOProductBuildVer">
    <vt:lpwstr>1033-12.2.0.13201</vt:lpwstr>
  </property>
  <property fmtid="{D5CDD505-2E9C-101B-9397-08002B2CF9AE}" pid="4" name="ICV">
    <vt:lpwstr>0E2D871EBAAA446AACC97E58DDBE4696_13</vt:lpwstr>
  </property>
</Properties>
</file>