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33" w:rsidRDefault="00C00330">
      <w:pPr>
        <w:jc w:val="center"/>
        <w:rPr>
          <w:rFonts w:ascii="Merriweather" w:eastAsia="Merriweather" w:hAnsi="Merriweather" w:cs="Merriweather"/>
        </w:rPr>
      </w:pPr>
      <w:r>
        <w:rPr>
          <w:rFonts w:ascii="Merriweather" w:eastAsia="Merriweather" w:hAnsi="Merriweather" w:cs="Merriweather"/>
          <w:b/>
          <w:noProof/>
          <w:lang w:val="en-GB"/>
        </w:rPr>
        <w:drawing>
          <wp:inline distT="0" distB="0" distL="0" distR="0">
            <wp:extent cx="530860" cy="528320"/>
            <wp:effectExtent l="0" t="0" r="0" b="0"/>
            <wp:docPr id="3"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8"/>
                    <a:srcRect/>
                    <a:stretch>
                      <a:fillRect/>
                    </a:stretch>
                  </pic:blipFill>
                  <pic:spPr>
                    <a:xfrm>
                      <a:off x="0" y="0"/>
                      <a:ext cx="530860" cy="528320"/>
                    </a:xfrm>
                    <a:prstGeom prst="rect">
                      <a:avLst/>
                    </a:prstGeom>
                    <a:ln/>
                  </pic:spPr>
                </pic:pic>
              </a:graphicData>
            </a:graphic>
          </wp:inline>
        </w:drawing>
      </w:r>
    </w:p>
    <w:tbl>
      <w:tblPr>
        <w:tblStyle w:val="a0"/>
        <w:tblW w:w="13020" w:type="dxa"/>
        <w:tblInd w:w="-56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5"/>
        <w:gridCol w:w="9745"/>
      </w:tblGrid>
      <w:tr w:rsidR="00675C33" w:rsidTr="00675C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 xml:space="preserve">Program Title </w:t>
            </w:r>
          </w:p>
          <w:p w:rsidR="00675C33" w:rsidRDefault="00675C33">
            <w:pPr>
              <w:rPr>
                <w:rFonts w:ascii="Merriweather" w:eastAsia="Merriweather" w:hAnsi="Merriweather" w:cs="Merriweather"/>
                <w:color w:val="000000"/>
              </w:rPr>
            </w:pPr>
          </w:p>
          <w:p w:rsidR="00675C33" w:rsidRDefault="00675C33">
            <w:pPr>
              <w:rPr>
                <w:rFonts w:ascii="Merriweather" w:eastAsia="Merriweather" w:hAnsi="Merriweather" w:cs="Merriweather"/>
                <w:color w:val="000000"/>
              </w:rPr>
            </w:pPr>
          </w:p>
        </w:tc>
        <w:tc>
          <w:tcPr>
            <w:tcW w:w="9745" w:type="dxa"/>
          </w:tcPr>
          <w:p w:rsidR="00675C33" w:rsidRDefault="00C00330">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Composition</w:t>
            </w:r>
          </w:p>
        </w:tc>
      </w:tr>
      <w:tr w:rsidR="00675C33" w:rsidTr="0067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 xml:space="preserve">Qualification </w:t>
            </w:r>
          </w:p>
          <w:p w:rsidR="00675C33" w:rsidRDefault="00675C33">
            <w:pPr>
              <w:rPr>
                <w:rFonts w:ascii="Merriweather" w:eastAsia="Merriweather" w:hAnsi="Merriweather" w:cs="Merriweather"/>
                <w:color w:val="000000"/>
              </w:rPr>
            </w:pPr>
            <w:bookmarkStart w:id="0" w:name="_GoBack"/>
            <w:bookmarkEnd w:id="0"/>
          </w:p>
        </w:tc>
        <w:tc>
          <w:tcPr>
            <w:tcW w:w="9745" w:type="dxa"/>
          </w:tcPr>
          <w:p w:rsidR="00675C33" w:rsidRDefault="0024579C" w:rsidP="0024579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12F3">
              <w:rPr>
                <w:rFonts w:ascii="Times New Roman" w:eastAsia="Times New Roman" w:hAnsi="Times New Roman" w:cs="Times New Roman"/>
              </w:rPr>
              <w:t>Master in Arts (MA) in Composition</w:t>
            </w:r>
          </w:p>
        </w:tc>
      </w:tr>
      <w:tr w:rsidR="00675C33" w:rsidTr="00675C33">
        <w:trPr>
          <w:trHeight w:val="818"/>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 xml:space="preserve">ECTS Credits and Their Distribution </w:t>
            </w:r>
          </w:p>
        </w:tc>
        <w:tc>
          <w:tcPr>
            <w:tcW w:w="9745" w:type="dxa"/>
          </w:tcPr>
          <w:p w:rsidR="00675C33" w:rsidRDefault="00C0033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120 ECTS</w:t>
            </w:r>
          </w:p>
          <w:p w:rsidR="00675C33" w:rsidRDefault="00675C3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75C33" w:rsidTr="0067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Language of Study</w:t>
            </w:r>
          </w:p>
        </w:tc>
        <w:tc>
          <w:tcPr>
            <w:tcW w:w="9745" w:type="dxa"/>
          </w:tcPr>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English</w:t>
            </w:r>
          </w:p>
        </w:tc>
      </w:tr>
      <w:tr w:rsidR="00675C33" w:rsidTr="00675C33">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Program Lieder / Co-leader</w:t>
            </w:r>
          </w:p>
        </w:tc>
        <w:tc>
          <w:tcPr>
            <w:tcW w:w="9745" w:type="dxa"/>
          </w:tcPr>
          <w:p w:rsidR="00675C33" w:rsidRDefault="00C0033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Professor </w:t>
            </w:r>
            <w:proofErr w:type="spellStart"/>
            <w:r>
              <w:rPr>
                <w:rFonts w:ascii="Times New Roman" w:eastAsia="Times New Roman" w:hAnsi="Times New Roman" w:cs="Times New Roman"/>
              </w:rPr>
              <w:t>Zurab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Nadareishvili</w:t>
            </w:r>
            <w:proofErr w:type="spellEnd"/>
          </w:p>
          <w:p w:rsidR="00675C33" w:rsidRDefault="00C0033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Associate Professor Maya (</w:t>
            </w:r>
            <w:proofErr w:type="spellStart"/>
            <w:r>
              <w:rPr>
                <w:rFonts w:ascii="Times New Roman" w:eastAsia="Times New Roman" w:hAnsi="Times New Roman" w:cs="Times New Roman"/>
              </w:rPr>
              <w:t>Maka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Virsaladze</w:t>
            </w:r>
            <w:proofErr w:type="spellEnd"/>
          </w:p>
        </w:tc>
      </w:tr>
      <w:tr w:rsidR="00675C33" w:rsidTr="0067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 xml:space="preserve">Minimum Admission Requirements </w:t>
            </w:r>
          </w:p>
        </w:tc>
        <w:tc>
          <w:tcPr>
            <w:tcW w:w="9745" w:type="dxa"/>
          </w:tcPr>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Composition master's program will accept applicants with a bachelor's academic degree, higher academic musical education. Those that made it through the entrance exam/creative tour of the competition will be admitted to the program. Information on the entrance exam/creative tour is available on the conservatory’s official webpage.</w:t>
            </w:r>
          </w:p>
        </w:tc>
      </w:tr>
      <w:tr w:rsidR="00675C33" w:rsidTr="00675C33">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proofErr w:type="spellStart"/>
            <w:r>
              <w:rPr>
                <w:rFonts w:ascii="Merriweather" w:eastAsia="Merriweather" w:hAnsi="Merriweather" w:cs="Merriweather"/>
                <w:color w:val="000000"/>
              </w:rPr>
              <w:t>Programme</w:t>
            </w:r>
            <w:proofErr w:type="spellEnd"/>
            <w:r>
              <w:rPr>
                <w:rFonts w:ascii="Merriweather" w:eastAsia="Merriweather" w:hAnsi="Merriweather" w:cs="Merriweather"/>
                <w:color w:val="000000"/>
              </w:rPr>
              <w:t xml:space="preserve"> Goal/Objectives </w:t>
            </w:r>
          </w:p>
        </w:tc>
        <w:tc>
          <w:tcPr>
            <w:tcW w:w="9745" w:type="dxa"/>
          </w:tcPr>
          <w:p w:rsidR="00675C33" w:rsidRDefault="00C0033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composition program's objective is to prepare musicians and composers for a Master of Musical Arts degree, particularly:</w:t>
            </w:r>
          </w:p>
          <w:p w:rsidR="00675C33" w:rsidRDefault="00675C3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675C33" w:rsidRDefault="00C00330">
            <w:pPr>
              <w:numPr>
                <w:ilvl w:val="0"/>
                <w:numId w:val="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enhancing composing competence and fostering creativity skills.</w:t>
            </w:r>
          </w:p>
          <w:p w:rsidR="00675C33" w:rsidRDefault="00C00330">
            <w:pPr>
              <w:numPr>
                <w:ilvl w:val="0"/>
                <w:numId w:val="1"/>
              </w:num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expand practical understanding of musical terms and language.</w:t>
            </w:r>
          </w:p>
          <w:p w:rsidR="00675C33" w:rsidRDefault="00C00330">
            <w:pPr>
              <w:numPr>
                <w:ilvl w:val="0"/>
                <w:numId w:val="1"/>
              </w:numPr>
              <w:pBdr>
                <w:top w:val="nil"/>
                <w:left w:val="nil"/>
                <w:bottom w:val="nil"/>
                <w:right w:val="nil"/>
                <w:between w:val="nil"/>
              </w:pBd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the growth of autonomy required for job advancement, autonomous learning, and adjusting to a continuously changing environment.</w:t>
            </w:r>
          </w:p>
          <w:p w:rsidR="00675C33" w:rsidRDefault="00C0033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 master's degree holder in musical arts can find employment as a composer in musical and dramatic theaters and in the film industry, as well as in creative and cultural-educational organizations.</w:t>
            </w:r>
          </w:p>
          <w:p w:rsidR="00675C33" w:rsidRDefault="00675C3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75C33" w:rsidTr="0067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 xml:space="preserve">Program Learning Outcomes </w:t>
            </w:r>
          </w:p>
        </w:tc>
        <w:tc>
          <w:tcPr>
            <w:tcW w:w="9745" w:type="dxa"/>
          </w:tcPr>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Knowledge and Understanding:</w:t>
            </w:r>
          </w:p>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Following the program completion, the graduate:</w:t>
            </w:r>
          </w:p>
          <w:p w:rsidR="00675C33" w:rsidRDefault="00C00330">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discusses, defines, and examines the norms for producing </w:t>
            </w:r>
            <w:r>
              <w:rPr>
                <w:rFonts w:ascii="Times New Roman" w:eastAsia="Times New Roman" w:hAnsi="Times New Roman" w:cs="Times New Roman"/>
              </w:rPr>
              <w:t>large scale</w:t>
            </w:r>
            <w:r>
              <w:rPr>
                <w:rFonts w:ascii="Times New Roman" w:eastAsia="Times New Roman" w:hAnsi="Times New Roman" w:cs="Times New Roman"/>
                <w:color w:val="000000"/>
              </w:rPr>
              <w:t xml:space="preserve"> musical works across genres, as well as the peculiarities of works from various periods.</w:t>
            </w:r>
          </w:p>
          <w:p w:rsidR="00675C33" w:rsidRDefault="00C00330">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displays an in-depth understanding and systematic knowledge of the most recent creative, practical, and research-based composing field.</w:t>
            </w:r>
          </w:p>
          <w:p w:rsidR="00675C33" w:rsidRDefault="00C00330">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demonstrates a comprehensive knowledge of contemporary compositional techniques and notation.</w:t>
            </w:r>
          </w:p>
          <w:p w:rsidR="00675C33" w:rsidRDefault="00C00330">
            <w:pPr>
              <w:numPr>
                <w:ilvl w:val="0"/>
                <w:numId w:val="2"/>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explains and examines the most recent topics in music theory (form, harmony, polyphony).</w:t>
            </w:r>
          </w:p>
          <w:p w:rsidR="00675C33" w:rsidRDefault="00675C3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Skills:</w:t>
            </w:r>
          </w:p>
          <w:p w:rsidR="00675C33" w:rsidRDefault="00C00330">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composes and performs music from various genres.</w:t>
            </w:r>
          </w:p>
          <w:p w:rsidR="00675C33" w:rsidRDefault="00C00330">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carries out creative-practical and artistic-research projects, interprets, and offers novel artistic approaches while making use of the proper research m</w:t>
            </w:r>
            <w:r>
              <w:rPr>
                <w:rFonts w:ascii="Times New Roman" w:eastAsia="Times New Roman" w:hAnsi="Times New Roman" w:cs="Times New Roman"/>
              </w:rPr>
              <w:t>ethods</w:t>
            </w:r>
            <w:r>
              <w:rPr>
                <w:rFonts w:ascii="Times New Roman" w:eastAsia="Times New Roman" w:hAnsi="Times New Roman" w:cs="Times New Roman"/>
                <w:color w:val="000000"/>
              </w:rPr>
              <w:t>.</w:t>
            </w:r>
          </w:p>
          <w:p w:rsidR="00675C33" w:rsidRDefault="00C00330">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delivers professional-level task planning, independent execution, and analysis and resolution of the complex problems of compositional art.</w:t>
            </w:r>
          </w:p>
          <w:p w:rsidR="00675C33" w:rsidRDefault="00C00330">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evaluates c</w:t>
            </w:r>
            <w:r>
              <w:rPr>
                <w:rFonts w:ascii="Times New Roman" w:eastAsia="Times New Roman" w:hAnsi="Times New Roman" w:cs="Times New Roman"/>
              </w:rPr>
              <w:t xml:space="preserve">ritically and constructively </w:t>
            </w:r>
            <w:r>
              <w:rPr>
                <w:rFonts w:ascii="Times New Roman" w:eastAsia="Times New Roman" w:hAnsi="Times New Roman" w:cs="Times New Roman"/>
                <w:color w:val="000000"/>
              </w:rPr>
              <w:t>music</w:t>
            </w:r>
            <w:r>
              <w:rPr>
                <w:rFonts w:ascii="Times New Roman" w:eastAsia="Times New Roman" w:hAnsi="Times New Roman" w:cs="Times New Roman"/>
              </w:rPr>
              <w:t xml:space="preserve"> compositions/works including</w:t>
            </w:r>
            <w:r>
              <w:rPr>
                <w:rFonts w:ascii="Times New Roman" w:eastAsia="Times New Roman" w:hAnsi="Times New Roman" w:cs="Times New Roman"/>
                <w:color w:val="000000"/>
              </w:rPr>
              <w:t xml:space="preserve"> his/her own.</w:t>
            </w:r>
          </w:p>
          <w:p w:rsidR="00675C33" w:rsidRDefault="00C00330">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ensures efficient communication with coworkers, </w:t>
            </w:r>
            <w:r>
              <w:rPr>
                <w:rFonts w:ascii="Times New Roman" w:eastAsia="Times New Roman" w:hAnsi="Times New Roman" w:cs="Times New Roman"/>
              </w:rPr>
              <w:t>colleagues</w:t>
            </w:r>
            <w:r>
              <w:rPr>
                <w:rFonts w:ascii="Times New Roman" w:eastAsia="Times New Roman" w:hAnsi="Times New Roman" w:cs="Times New Roman"/>
                <w:color w:val="000000"/>
              </w:rPr>
              <w:t xml:space="preserve"> (concert organizers), the audience, and the academic community.</w:t>
            </w:r>
          </w:p>
          <w:p w:rsidR="00675C33" w:rsidRDefault="00C00330">
            <w:pPr>
              <w:numPr>
                <w:ilvl w:val="0"/>
                <w:numId w:val="3"/>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utilizes modern information and communication technology, including compositional art;</w:t>
            </w:r>
          </w:p>
          <w:p w:rsidR="00675C33" w:rsidRDefault="00675C3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Responsibility and autonomy</w:t>
            </w:r>
          </w:p>
          <w:p w:rsidR="00675C33" w:rsidRDefault="00C00330">
            <w:pPr>
              <w:numPr>
                <w:ilvl w:val="0"/>
                <w:numId w:val="4"/>
              </w:numPr>
              <w:pBdr>
                <w:top w:val="nil"/>
                <w:left w:val="nil"/>
                <w:bottom w:val="nil"/>
                <w:right w:val="nil"/>
                <w:between w:val="nil"/>
              </w:pBdr>
              <w:spacing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The student </w:t>
            </w:r>
            <w:r>
              <w:rPr>
                <w:rFonts w:ascii="Times New Roman" w:eastAsia="Times New Roman" w:hAnsi="Times New Roman" w:cs="Times New Roman"/>
                <w:color w:val="000000"/>
                <w:u w:val="single"/>
              </w:rPr>
              <w:t>is interested</w:t>
            </w:r>
            <w:r>
              <w:rPr>
                <w:rFonts w:ascii="Times New Roman" w:eastAsia="Times New Roman" w:hAnsi="Times New Roman" w:cs="Times New Roman"/>
                <w:color w:val="000000"/>
              </w:rPr>
              <w:t xml:space="preserve"> in advancing his/he</w:t>
            </w:r>
            <w:r>
              <w:rPr>
                <w:rFonts w:ascii="Times New Roman" w:eastAsia="Times New Roman" w:hAnsi="Times New Roman" w:cs="Times New Roman"/>
              </w:rPr>
              <w:t xml:space="preserve">r </w:t>
            </w:r>
            <w:r>
              <w:rPr>
                <w:rFonts w:ascii="Times New Roman" w:eastAsia="Times New Roman" w:hAnsi="Times New Roman" w:cs="Times New Roman"/>
                <w:color w:val="000000"/>
              </w:rPr>
              <w:t>professional knowledge in a dynamic setting and recognizes the need for more learning.</w:t>
            </w:r>
          </w:p>
          <w:p w:rsidR="00675C33" w:rsidRDefault="00C00330">
            <w:pPr>
              <w:numPr>
                <w:ilvl w:val="0"/>
                <w:numId w:val="4"/>
              </w:numPr>
              <w:pBdr>
                <w:top w:val="nil"/>
                <w:left w:val="nil"/>
                <w:bottom w:val="nil"/>
                <w:right w:val="nil"/>
                <w:between w:val="nil"/>
              </w:pBd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The student </w:t>
            </w:r>
            <w:r>
              <w:rPr>
                <w:rFonts w:ascii="Times New Roman" w:eastAsia="Times New Roman" w:hAnsi="Times New Roman" w:cs="Times New Roman"/>
                <w:color w:val="000000"/>
                <w:u w:val="single"/>
              </w:rPr>
              <w:t>respects and takes into consideration</w:t>
            </w:r>
            <w:r>
              <w:rPr>
                <w:rFonts w:ascii="Times New Roman" w:eastAsia="Times New Roman" w:hAnsi="Times New Roman" w:cs="Times New Roman"/>
                <w:color w:val="000000"/>
              </w:rPr>
              <w:t xml:space="preserve"> copyright and adheres to academic integrity standards.</w:t>
            </w:r>
          </w:p>
        </w:tc>
      </w:tr>
      <w:tr w:rsidR="00675C33" w:rsidTr="00675C33">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lastRenderedPageBreak/>
              <w:t xml:space="preserve">Learning and Teaching Methods </w:t>
            </w:r>
          </w:p>
        </w:tc>
        <w:tc>
          <w:tcPr>
            <w:tcW w:w="9745" w:type="dxa"/>
          </w:tcPr>
          <w:p w:rsidR="00675C33" w:rsidRDefault="00C003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organic integration of creative/practical and theoretical teaching methods and the development of each student's unique creative potential and skills while considering the specifics of the performing arts and the relevant specialty are necessary conditions for the master's program's implementation. To support student professional mastery, the program gives emphasis on the approach of individual study. The major module of the specialty's study of the training courses is based on the continuous learning approach and the progressive complication of performance and creative assignments.</w:t>
            </w:r>
          </w:p>
          <w:p w:rsidR="00675C33" w:rsidRDefault="00675C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675C33" w:rsidRDefault="00C003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following methods are used during the teaching process:</w:t>
            </w:r>
          </w:p>
          <w:p w:rsidR="00675C33" w:rsidRDefault="00C00330">
            <w:pPr>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Lectures and practical lessons/seminars</w:t>
            </w:r>
          </w:p>
          <w:p w:rsidR="00675C33" w:rsidRDefault="00C00330">
            <w:pPr>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highlight w:val="white"/>
              </w:rPr>
            </w:pPr>
            <w:r>
              <w:rPr>
                <w:rFonts w:ascii="Times New Roman" w:eastAsia="Times New Roman" w:hAnsi="Times New Roman" w:cs="Times New Roman"/>
                <w:highlight w:val="white"/>
              </w:rPr>
              <w:t>Studio/rehearsal classes, particularly those that are focused at creative projects (open, studio, solo concerts, competitions, festivals).</w:t>
            </w:r>
          </w:p>
          <w:p w:rsidR="00675C33" w:rsidRDefault="00C00330">
            <w:pPr>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Study in a professional environment in a professional setting (a concert hall).</w:t>
            </w:r>
          </w:p>
          <w:p w:rsidR="00675C33" w:rsidRDefault="00C00330">
            <w:pPr>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Taking part </w:t>
            </w:r>
            <w:proofErr w:type="gramStart"/>
            <w:r>
              <w:rPr>
                <w:rFonts w:ascii="Times New Roman" w:eastAsia="Times New Roman" w:hAnsi="Times New Roman" w:cs="Times New Roman"/>
              </w:rPr>
              <w:t>in  master</w:t>
            </w:r>
            <w:proofErr w:type="gramEnd"/>
            <w:r>
              <w:rPr>
                <w:rFonts w:ascii="Times New Roman" w:eastAsia="Times New Roman" w:hAnsi="Times New Roman" w:cs="Times New Roman"/>
              </w:rPr>
              <w:t xml:space="preserve"> classes/seminars conducted by eminent composers/musicians.</w:t>
            </w:r>
          </w:p>
          <w:p w:rsidR="00675C33" w:rsidRDefault="00C00330">
            <w:pPr>
              <w:numPr>
                <w:ilvl w:val="0"/>
                <w:numId w:val="5"/>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analysis of numerous types of artistic accomplishments</w:t>
            </w:r>
          </w:p>
          <w:p w:rsidR="00675C33" w:rsidRDefault="00C00330">
            <w:pPr>
              <w:numPr>
                <w:ilvl w:val="0"/>
                <w:numId w:val="5"/>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study of theoretical aspects of practical/creative </w:t>
            </w:r>
            <w:r>
              <w:rPr>
                <w:rFonts w:ascii="Times New Roman" w:eastAsia="Times New Roman" w:hAnsi="Times New Roman" w:cs="Times New Roman"/>
              </w:rPr>
              <w:t>tasks.</w:t>
            </w:r>
          </w:p>
          <w:p w:rsidR="00675C33" w:rsidRDefault="00C00330">
            <w:pPr>
              <w:numPr>
                <w:ilvl w:val="0"/>
                <w:numId w:val="5"/>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Book work</w:t>
            </w:r>
          </w:p>
          <w:p w:rsidR="00675C33" w:rsidRDefault="00C00330">
            <w:pPr>
              <w:numPr>
                <w:ilvl w:val="0"/>
                <w:numId w:val="5"/>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Holding discussions on professional matters</w:t>
            </w:r>
          </w:p>
          <w:p w:rsidR="00675C33" w:rsidRDefault="00C00330">
            <w:pPr>
              <w:numPr>
                <w:ilvl w:val="0"/>
                <w:numId w:val="5"/>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Engagement in events such as concerts, festivals, and other artistic performances</w:t>
            </w:r>
          </w:p>
          <w:p w:rsidR="00675C33" w:rsidRDefault="00C00330">
            <w:pPr>
              <w:numPr>
                <w:ilvl w:val="0"/>
                <w:numId w:val="5"/>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rPr>
              <w:t>Independent work completed by students autonomously to form and hone their professional abilities.</w:t>
            </w:r>
          </w:p>
          <w:p w:rsidR="00675C33" w:rsidRDefault="00675C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75C33" w:rsidTr="0067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lastRenderedPageBreak/>
              <w:t xml:space="preserve">Assessment Methods </w:t>
            </w:r>
          </w:p>
        </w:tc>
        <w:tc>
          <w:tcPr>
            <w:tcW w:w="9745" w:type="dxa"/>
          </w:tcPr>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final assessment (100 points), which is the sum of the midterm (one-time or repeated) and final assessments, is used to evaluate the student's academic performance in the study component of the undergraduate educational program. Each assessment form and component have a certain share of the final evaluation from the overall evaluation score (100 points), which is stipulated in the applicable syllabus and communicated to the student at the start of the academic semester.</w:t>
            </w:r>
          </w:p>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student is granted credit in the event of a positive assessment on the final exam.</w:t>
            </w:r>
          </w:p>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precise percentage of the required minimum competence for the midterm and final assessments is specified in a syllabus and announced to the student at the beginning of the study semester.</w:t>
            </w:r>
          </w:p>
          <w:p w:rsidR="00675C33" w:rsidRDefault="00675C3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stipulated by-law assessment system allows for five types of positive assessment:</w:t>
            </w:r>
          </w:p>
          <w:p w:rsidR="00675C33" w:rsidRDefault="00C00330">
            <w:pPr>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 - excellent – 91-100 points</w:t>
            </w:r>
          </w:p>
          <w:p w:rsidR="00675C33" w:rsidRDefault="00C00330">
            <w:pPr>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 - very good – 81-90 of the maximum assessment</w:t>
            </w:r>
          </w:p>
          <w:p w:rsidR="00675C33" w:rsidRDefault="00C00330">
            <w:pPr>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 - good – 71-80 of the maximum assessment </w:t>
            </w:r>
          </w:p>
          <w:p w:rsidR="00675C33" w:rsidRDefault="00C00330">
            <w:pPr>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 - satisfactory – 61-70 of the maximum assessment</w:t>
            </w:r>
          </w:p>
          <w:p w:rsidR="00675C33" w:rsidRDefault="00C00330">
            <w:pPr>
              <w:numPr>
                <w:ilvl w:val="0"/>
                <w:numId w:val="6"/>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 - sufficient – 51-60 of the maximum assessment</w:t>
            </w:r>
          </w:p>
          <w:p w:rsidR="00675C33" w:rsidRDefault="00C0033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assessment system allows two types of negative assessment:</w:t>
            </w:r>
          </w:p>
          <w:p w:rsidR="00675C33" w:rsidRDefault="00C00330">
            <w:pPr>
              <w:numPr>
                <w:ilvl w:val="0"/>
                <w:numId w:val="6"/>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(FX) not able to pass- which indicates that the doctoral student needs to complete extra work to pass and is allowed to retake the test through independent study (41–50 points of the maximum assessment)</w:t>
            </w:r>
          </w:p>
          <w:p w:rsidR="00675C33" w:rsidRDefault="00C00330">
            <w:pPr>
              <w:widowControl w:val="0"/>
              <w:numPr>
                <w:ilvl w:val="0"/>
                <w:numId w:val="6"/>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 failed - 40 points and less out of the maximum assessment, indicating the student's work is insufficient, and he must re-take the course.</w:t>
            </w:r>
          </w:p>
          <w:p w:rsidR="00675C33" w:rsidRDefault="00675C33">
            <w:pPr>
              <w:widowControl w:val="0"/>
              <w:spacing w:line="276" w:lineRule="auto"/>
              <w:ind w:left="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675C33" w:rsidRDefault="00C0033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a </w:t>
            </w:r>
            <w:r>
              <w:rPr>
                <w:rFonts w:ascii="Times New Roman" w:eastAsia="Times New Roman" w:hAnsi="Times New Roman" w:cs="Times New Roman"/>
              </w:rPr>
              <w:t>master</w:t>
            </w:r>
            <w:r>
              <w:rPr>
                <w:rFonts w:ascii="Times New Roman" w:eastAsia="Times New Roman" w:hAnsi="Times New Roman" w:cs="Times New Roman"/>
                <w:color w:val="000000"/>
              </w:rPr>
              <w:t xml:space="preserve"> student is evaluated by FX, the extra exam will be arranged for him/her at least 5 calendar days after the results of the initial final exam are released. The number of points obtained as a result of the final exam is not added to the number of points accumulated on the additional exam. The result of the additional </w:t>
            </w:r>
            <w:r>
              <w:rPr>
                <w:rFonts w:ascii="Times New Roman" w:eastAsia="Times New Roman" w:hAnsi="Times New Roman" w:cs="Times New Roman"/>
                <w:color w:val="000000"/>
              </w:rPr>
              <w:lastRenderedPageBreak/>
              <w:t>exam is considered final and is reflected in the final evaluation of the educational program’s educational component. The student is given an F-0 grade if the final assessment for the educational component is 0 to 50, taking into account his performance on the additional examination.</w:t>
            </w:r>
          </w:p>
          <w:p w:rsidR="00675C33" w:rsidRDefault="00675C3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675C33" w:rsidTr="00675C33">
        <w:trPr>
          <w:trHeight w:val="503"/>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lastRenderedPageBreak/>
              <w:t>Career Options</w:t>
            </w:r>
          </w:p>
        </w:tc>
        <w:tc>
          <w:tcPr>
            <w:tcW w:w="9745" w:type="dxa"/>
          </w:tcPr>
          <w:p w:rsidR="00675C33" w:rsidRDefault="00C00330">
            <w:pPr>
              <w:spacing w:after="3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Graduates of the program can find employment as music arrangers, assistant composers, stage, film, theater, video game, television, and radio composers, artistic directors, orchestrators, music editors, transcribers, and other positions. In the realm of culture, as well as in governmental and non-governmental organizations. Additionally, they can be employed at government and non-government institutions operating in the cultural field.</w:t>
            </w:r>
          </w:p>
        </w:tc>
      </w:tr>
      <w:tr w:rsidR="00675C33" w:rsidTr="0067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 xml:space="preserve">Tuition Fee </w:t>
            </w:r>
          </w:p>
        </w:tc>
        <w:tc>
          <w:tcPr>
            <w:tcW w:w="9745" w:type="dxa"/>
          </w:tcPr>
          <w:p w:rsidR="00675C33" w:rsidRDefault="00C0033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3000 Georgian </w:t>
            </w:r>
            <w:proofErr w:type="spellStart"/>
            <w:r>
              <w:rPr>
                <w:rFonts w:ascii="Times New Roman" w:eastAsia="Times New Roman" w:hAnsi="Times New Roman" w:cs="Times New Roman"/>
              </w:rPr>
              <w:t>Lari</w:t>
            </w:r>
            <w:proofErr w:type="spellEnd"/>
          </w:p>
        </w:tc>
      </w:tr>
      <w:tr w:rsidR="00675C33" w:rsidTr="00675C33">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 xml:space="preserve">Human and Material resources </w:t>
            </w:r>
          </w:p>
        </w:tc>
        <w:tc>
          <w:tcPr>
            <w:tcW w:w="9745" w:type="dxa"/>
          </w:tcPr>
          <w:p w:rsidR="00675C33" w:rsidRDefault="00C0033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conservatory has the necessary material-technical basis for applied and scientific work to carry out the bachelor program: well-equipped auditoriums; electronic studio, concert and opera venues, and opera studios.</w:t>
            </w:r>
          </w:p>
          <w:p w:rsidR="00675C33" w:rsidRDefault="00C00330">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Students have access to the audio-video library, books, music, and audio collections of the library music scores, electronic databases and libraries, computers connected to the Internet, leading worldwide electronic books, music sheets, and audio-visual databases.</w:t>
            </w:r>
          </w:p>
          <w:p w:rsidR="00675C33" w:rsidRDefault="00C00330">
            <w:pPr>
              <w:spacing w:before="24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right human resources have been gathered for the educational program's execution. The educational program implementation involves academic staff from the conservatory (including professors, associate professors, assistant professors, and emeritus professors), as well as invited specialists, who have the necessary competence, academic degree, and teaching and research experience.</w:t>
            </w:r>
          </w:p>
          <w:p w:rsidR="00675C33" w:rsidRDefault="00675C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675C33" w:rsidRDefault="00675C3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675C33" w:rsidTr="00675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 xml:space="preserve">Budget </w:t>
            </w:r>
          </w:p>
        </w:tc>
        <w:tc>
          <w:tcPr>
            <w:tcW w:w="9745" w:type="dxa"/>
          </w:tcPr>
          <w:p w:rsidR="00675C33" w:rsidRDefault="00C0033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Available in Annex</w:t>
            </w:r>
          </w:p>
        </w:tc>
      </w:tr>
      <w:tr w:rsidR="00675C33" w:rsidTr="00675C33">
        <w:trPr>
          <w:trHeight w:val="389"/>
        </w:trPr>
        <w:tc>
          <w:tcPr>
            <w:cnfStyle w:val="001000000000" w:firstRow="0" w:lastRow="0" w:firstColumn="1" w:lastColumn="0" w:oddVBand="0" w:evenVBand="0" w:oddHBand="0" w:evenHBand="0" w:firstRowFirstColumn="0" w:firstRowLastColumn="0" w:lastRowFirstColumn="0" w:lastRowLastColumn="0"/>
            <w:tcW w:w="3275" w:type="dxa"/>
            <w:shd w:val="clear" w:color="auto" w:fill="D0CECE"/>
          </w:tcPr>
          <w:p w:rsidR="00675C33" w:rsidRDefault="00C00330">
            <w:pPr>
              <w:rPr>
                <w:rFonts w:ascii="Merriweather" w:eastAsia="Merriweather" w:hAnsi="Merriweather" w:cs="Merriweather"/>
                <w:color w:val="000000"/>
              </w:rPr>
            </w:pPr>
            <w:r>
              <w:rPr>
                <w:rFonts w:ascii="Merriweather" w:eastAsia="Merriweather" w:hAnsi="Merriweather" w:cs="Merriweather"/>
                <w:color w:val="000000"/>
              </w:rPr>
              <w:t>Additional information (if any)</w:t>
            </w:r>
          </w:p>
          <w:p w:rsidR="00675C33" w:rsidRDefault="00675C33">
            <w:pPr>
              <w:rPr>
                <w:rFonts w:ascii="Merriweather" w:eastAsia="Merriweather" w:hAnsi="Merriweather" w:cs="Merriweather"/>
                <w:color w:val="000000"/>
              </w:rPr>
            </w:pPr>
          </w:p>
        </w:tc>
        <w:tc>
          <w:tcPr>
            <w:tcW w:w="9745" w:type="dxa"/>
          </w:tcPr>
          <w:p w:rsidR="00675C33" w:rsidRDefault="00C003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applicant for the educational program, and later the student, is required to understand the significance of the values outlined in the Conservatory's Code of Ethics and Academic Integrity Policy and to follow them carefully.</w:t>
            </w:r>
          </w:p>
          <w:p w:rsidR="00675C33" w:rsidRDefault="00675C3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675C33" w:rsidRDefault="00C0033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The conservatory by using its own institutional resources supports composition major students in offering live premiere of their newly composed pieces and its audio/video recording. </w:t>
            </w:r>
          </w:p>
        </w:tc>
      </w:tr>
    </w:tbl>
    <w:p w:rsidR="00675C33" w:rsidRDefault="00675C33">
      <w:pPr>
        <w:rPr>
          <w:rFonts w:ascii="Merriweather" w:eastAsia="Merriweather" w:hAnsi="Merriweather" w:cs="Merriweather"/>
          <w:b/>
        </w:rPr>
      </w:pPr>
    </w:p>
    <w:p w:rsidR="00675C33" w:rsidRDefault="00675C33">
      <w:pPr>
        <w:rPr>
          <w:rFonts w:ascii="Merriweather" w:eastAsia="Merriweather" w:hAnsi="Merriweather" w:cs="Merriweather"/>
          <w:b/>
        </w:rPr>
      </w:pPr>
    </w:p>
    <w:p w:rsidR="00675C33" w:rsidRDefault="00675C33">
      <w:pPr>
        <w:rPr>
          <w:rFonts w:ascii="Merriweather" w:eastAsia="Merriweather" w:hAnsi="Merriweather" w:cs="Merriweather"/>
          <w:b/>
        </w:rPr>
      </w:pPr>
    </w:p>
    <w:p w:rsidR="00675C33" w:rsidRDefault="00675C33">
      <w:pPr>
        <w:rPr>
          <w:rFonts w:ascii="Merriweather" w:eastAsia="Merriweather" w:hAnsi="Merriweather" w:cs="Merriweather"/>
          <w:b/>
        </w:rPr>
      </w:pPr>
    </w:p>
    <w:p w:rsidR="00675C33" w:rsidRDefault="00675C33">
      <w:pPr>
        <w:jc w:val="center"/>
        <w:rPr>
          <w:rFonts w:ascii="Merriweather" w:eastAsia="Merriweather" w:hAnsi="Merriweather" w:cs="Merriweather"/>
          <w:b/>
        </w:rPr>
      </w:pPr>
    </w:p>
    <w:sectPr w:rsidR="00675C33">
      <w:head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B3" w:rsidRDefault="000417B3">
      <w:pPr>
        <w:spacing w:after="0" w:line="240" w:lineRule="auto"/>
      </w:pPr>
      <w:r>
        <w:separator/>
      </w:r>
    </w:p>
  </w:endnote>
  <w:endnote w:type="continuationSeparator" w:id="0">
    <w:p w:rsidR="000417B3" w:rsidRDefault="0004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B3" w:rsidRDefault="000417B3">
      <w:pPr>
        <w:spacing w:after="0" w:line="240" w:lineRule="auto"/>
      </w:pPr>
      <w:r>
        <w:separator/>
      </w:r>
    </w:p>
  </w:footnote>
  <w:footnote w:type="continuationSeparator" w:id="0">
    <w:p w:rsidR="000417B3" w:rsidRDefault="00041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33" w:rsidRDefault="00C00330">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color w:val="000000"/>
      </w:rPr>
    </w:pPr>
    <w:r>
      <w:rPr>
        <w:rFonts w:ascii="Merriweather" w:eastAsia="Merriweather" w:hAnsi="Merriweather" w:cs="Merriweather"/>
        <w:b/>
        <w:color w:val="000000"/>
        <w:sz w:val="20"/>
        <w:szCs w:val="20"/>
      </w:rPr>
      <w:t xml:space="preserve">LEPL – </w:t>
    </w:r>
    <w:proofErr w:type="spellStart"/>
    <w:r>
      <w:rPr>
        <w:rFonts w:ascii="Merriweather" w:eastAsia="Merriweather" w:hAnsi="Merriweather" w:cs="Merriweather"/>
        <w:b/>
        <w:color w:val="000000"/>
        <w:sz w:val="20"/>
        <w:szCs w:val="20"/>
      </w:rPr>
      <w:t>Vano</w:t>
    </w:r>
    <w:proofErr w:type="spellEnd"/>
    <w:r>
      <w:rPr>
        <w:rFonts w:ascii="Merriweather" w:eastAsia="Merriweather" w:hAnsi="Merriweather" w:cs="Merriweather"/>
        <w:b/>
        <w:color w:val="000000"/>
        <w:sz w:val="20"/>
        <w:szCs w:val="20"/>
      </w:rPr>
      <w:t xml:space="preserve"> </w:t>
    </w:r>
    <w:proofErr w:type="spellStart"/>
    <w:r>
      <w:rPr>
        <w:rFonts w:ascii="Merriweather" w:eastAsia="Merriweather" w:hAnsi="Merriweather" w:cs="Merriweather"/>
        <w:b/>
        <w:color w:val="000000"/>
        <w:sz w:val="20"/>
        <w:szCs w:val="20"/>
      </w:rPr>
      <w:t>Sarajishvili</w:t>
    </w:r>
    <w:proofErr w:type="spellEnd"/>
    <w:r>
      <w:rPr>
        <w:rFonts w:ascii="Merriweather" w:eastAsia="Merriweather" w:hAnsi="Merriweather" w:cs="Merriweather"/>
        <w:b/>
        <w:color w:val="000000"/>
        <w:sz w:val="20"/>
        <w:szCs w:val="20"/>
      </w:rPr>
      <w:t xml:space="preserve"> Tbilisi State Conservatoire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F1F"/>
    <w:multiLevelType w:val="multilevel"/>
    <w:tmpl w:val="85A44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0372DE"/>
    <w:multiLevelType w:val="multilevel"/>
    <w:tmpl w:val="F8AC8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3003A2"/>
    <w:multiLevelType w:val="multilevel"/>
    <w:tmpl w:val="1144C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EE0D97"/>
    <w:multiLevelType w:val="multilevel"/>
    <w:tmpl w:val="1BF85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D71DEF"/>
    <w:multiLevelType w:val="multilevel"/>
    <w:tmpl w:val="44140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820EC0"/>
    <w:multiLevelType w:val="multilevel"/>
    <w:tmpl w:val="407AD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33"/>
    <w:rsid w:val="000417B3"/>
    <w:rsid w:val="001F714D"/>
    <w:rsid w:val="0024579C"/>
    <w:rsid w:val="00675C33"/>
    <w:rsid w:val="007112F3"/>
    <w:rsid w:val="00C00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EEFC"/>
  <w15:docId w15:val="{F4043D7A-AAC6-4BF0-ACF6-2E4E1BBE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21">
    <w:name w:val="Таблица простая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3A1C"/>
    <w:rPr>
      <w:sz w:val="16"/>
      <w:szCs w:val="16"/>
    </w:rPr>
  </w:style>
  <w:style w:type="paragraph" w:styleId="CommentText">
    <w:name w:val="annotation text"/>
    <w:basedOn w:val="Normal"/>
    <w:link w:val="CommentTextChar"/>
    <w:uiPriority w:val="99"/>
    <w:semiHidden/>
    <w:unhideWhenUsed/>
    <w:rsid w:val="005D3A1C"/>
    <w:pPr>
      <w:spacing w:line="240" w:lineRule="auto"/>
    </w:pPr>
    <w:rPr>
      <w:sz w:val="20"/>
      <w:szCs w:val="20"/>
    </w:rPr>
  </w:style>
  <w:style w:type="character" w:customStyle="1" w:styleId="CommentTextChar">
    <w:name w:val="Comment Text Char"/>
    <w:basedOn w:val="DefaultParagraphFont"/>
    <w:link w:val="CommentText"/>
    <w:uiPriority w:val="99"/>
    <w:semiHidden/>
    <w:rsid w:val="005D3A1C"/>
    <w:rPr>
      <w:sz w:val="20"/>
      <w:szCs w:val="20"/>
    </w:rPr>
  </w:style>
  <w:style w:type="paragraph" w:styleId="CommentSubject">
    <w:name w:val="annotation subject"/>
    <w:basedOn w:val="CommentText"/>
    <w:next w:val="CommentText"/>
    <w:link w:val="CommentSubjectChar"/>
    <w:uiPriority w:val="99"/>
    <w:semiHidden/>
    <w:unhideWhenUsed/>
    <w:rsid w:val="005D3A1C"/>
    <w:rPr>
      <w:b/>
      <w:bCs/>
    </w:rPr>
  </w:style>
  <w:style w:type="character" w:customStyle="1" w:styleId="CommentSubjectChar">
    <w:name w:val="Comment Subject Char"/>
    <w:basedOn w:val="CommentTextChar"/>
    <w:link w:val="CommentSubject"/>
    <w:uiPriority w:val="99"/>
    <w:semiHidden/>
    <w:rsid w:val="005D3A1C"/>
    <w:rPr>
      <w:b/>
      <w:bCs/>
      <w:sz w:val="20"/>
      <w:szCs w:val="20"/>
    </w:rPr>
  </w:style>
  <w:style w:type="paragraph" w:styleId="BalloonText">
    <w:name w:val="Balloon Text"/>
    <w:basedOn w:val="Normal"/>
    <w:link w:val="BalloonTextChar"/>
    <w:uiPriority w:val="99"/>
    <w:semiHidden/>
    <w:unhideWhenUsed/>
    <w:rsid w:val="005D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C"/>
    <w:rPr>
      <w:rFonts w:ascii="Segoe UI" w:hAnsi="Segoe UI" w:cs="Segoe UI"/>
      <w:sz w:val="18"/>
      <w:szCs w:val="18"/>
    </w:rPr>
  </w:style>
  <w:style w:type="character" w:customStyle="1" w:styleId="ListParagraphChar">
    <w:name w:val="List Paragraph Char"/>
    <w:link w:val="ListParagraph"/>
    <w:uiPriority w:val="34"/>
    <w:locked/>
    <w:rsid w:val="00051D9B"/>
  </w:style>
  <w:style w:type="paragraph" w:styleId="Header">
    <w:name w:val="header"/>
    <w:basedOn w:val="Normal"/>
    <w:link w:val="HeaderChar"/>
    <w:uiPriority w:val="99"/>
    <w:rsid w:val="00AB6ACE"/>
    <w:pPr>
      <w:tabs>
        <w:tab w:val="center" w:pos="4844"/>
        <w:tab w:val="right" w:pos="9689"/>
      </w:tabs>
      <w:spacing w:after="0" w:line="240" w:lineRule="auto"/>
      <w:jc w:val="both"/>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rsid w:val="00AB6ACE"/>
    <w:rPr>
      <w:rFonts w:ascii="Times New Roman" w:eastAsia="MS Mincho" w:hAnsi="Times New Roman" w:cs="Times New Roman"/>
      <w:lang w:eastAsia="ja-JP"/>
    </w:rPr>
  </w:style>
  <w:style w:type="paragraph" w:customStyle="1" w:styleId="ckhrilixml">
    <w:name w:val="ckhrili_xml"/>
    <w:basedOn w:val="Normal"/>
    <w:autoRedefine/>
    <w:uiPriority w:val="99"/>
    <w:rsid w:val="00AB6ACE"/>
    <w:pPr>
      <w:framePr w:hSpace="180" w:wrap="auto" w:vAnchor="text" w:hAnchor="text" w:y="1"/>
      <w:spacing w:after="0" w:line="240" w:lineRule="auto"/>
      <w:suppressOverlap/>
    </w:pPr>
    <w:rPr>
      <w:rFonts w:ascii="Sylfaen" w:eastAsia="Times New Roman" w:hAnsi="Sylfaen" w:cs="Sylfaen"/>
      <w:lang w:val="ka-GE"/>
    </w:rPr>
  </w:style>
  <w:style w:type="character" w:styleId="Hyperlink">
    <w:name w:val="Hyperlink"/>
    <w:basedOn w:val="DefaultParagraphFont"/>
    <w:uiPriority w:val="99"/>
    <w:unhideWhenUsed/>
    <w:rsid w:val="004F079D"/>
    <w:rPr>
      <w:color w:val="0563C1" w:themeColor="hyperlink"/>
      <w:u w:val="single"/>
    </w:rPr>
  </w:style>
  <w:style w:type="table" w:customStyle="1" w:styleId="TableGrid0">
    <w:name w:val="TableGrid"/>
    <w:rsid w:val="001B7D6E"/>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37A32"/>
    <w:rPr>
      <w:color w:val="605E5C"/>
      <w:shd w:val="clear" w:color="auto" w:fill="E1DFDD"/>
    </w:rPr>
  </w:style>
  <w:style w:type="paragraph" w:styleId="Footer">
    <w:name w:val="footer"/>
    <w:basedOn w:val="Normal"/>
    <w:link w:val="FooterChar"/>
    <w:uiPriority w:val="99"/>
    <w:unhideWhenUsed/>
    <w:rsid w:val="0016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G37zwUSt5xHLmRCFeMkjBc4vZQ==">CgMxLjAyCGguZ2pkZ3hzOAByITFlZXJsV0VaRHY3R1REVjUxYWhtOGdJYVVyc2xpQjJreA==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6894</Characters>
  <Application>Microsoft Office Word</Application>
  <DocSecurity>0</DocSecurity>
  <Lines>57</Lines>
  <Paragraphs>16</Paragraphs>
  <ScaleCrop>false</ScaleCrop>
  <Company>HP</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anny.zhorzholiani@gmail.com</dc:creator>
  <cp:lastModifiedBy>Mako Avaliani</cp:lastModifiedBy>
  <cp:revision>4</cp:revision>
  <dcterms:created xsi:type="dcterms:W3CDTF">2022-09-22T10:12:00Z</dcterms:created>
  <dcterms:modified xsi:type="dcterms:W3CDTF">2023-09-03T05:53:00Z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3379a3cc4cde057afe50de4adf703d5a83654da30f410605644552ce8f77706c</vt:lpwstr>
  </property>
</Properties>
</file>